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001-36619</w:t>
        </w:r>
      </w:hyperlink>
    </w:p>
    <w:p>
      <w:pPr>
        <w:spacing w:after="0" w:line="136" w:lineRule="exact"/>
        <w:rPr>
          <w:sz w:val="24"/>
          <w:szCs w:val="24"/>
          <w:color w:val="auto"/>
        </w:rPr>
      </w:pPr>
    </w:p>
    <w:p>
      <w:pPr>
        <w:ind w:left="3620"/>
        <w:spacing w:after="0"/>
        <w:tabs>
          <w:tab w:leader="none" w:pos="448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Affimed N.V.</w:t>
        </w:r>
      </w:hyperlink>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2380"/>
        <w:spacing w:after="0"/>
        <w:tabs>
          <w:tab w:leader="none" w:pos="392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Gottlieb-Daimler Strasse 2</w:t>
      </w:r>
    </w:p>
    <w:p>
      <w:pPr>
        <w:spacing w:after="0" w:line="6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0000FF"/>
        </w:rPr>
        <w:t>Mannheim GERMANY 68165</w:t>
      </w:r>
    </w:p>
    <w:p>
      <w:pPr>
        <w:spacing w:after="0" w:line="63" w:lineRule="exact"/>
        <w:rPr>
          <w:sz w:val="24"/>
          <w:szCs w:val="24"/>
          <w:color w:val="auto"/>
        </w:rPr>
      </w:pPr>
    </w:p>
    <w:tbl>
      <w:tblPr>
        <w:tblLayout w:type="fixed"/>
        <w:tblInd w:w="2380" w:type="dxa"/>
        <w:tblCellMar>
          <w:top w:w="0" w:type="dxa"/>
          <w:left w:w="0" w:type="dxa"/>
          <w:bottom w:w="0" w:type="dxa"/>
          <w:right w:w="0" w:type="dxa"/>
        </w:tblCellMar>
      </w:tblPr>
      <w:tr>
        <w:trPr>
          <w:trHeight w:val="232"/>
        </w:trPr>
        <w:tc>
          <w:tcPr>
            <w:tcW w:w="2680" w:type="dxa"/>
            <w:vAlign w:val="bottom"/>
          </w:tcPr>
          <w:p>
            <w:pPr>
              <w:spacing w:after="0"/>
              <w:rPr>
                <w:sz w:val="20"/>
                <w:szCs w:val="20"/>
                <w:color w:val="auto"/>
              </w:rPr>
            </w:pPr>
            <w:r>
              <w:rPr>
                <w:rFonts w:ascii="Arial" w:cs="Arial" w:eastAsia="Arial" w:hAnsi="Arial"/>
                <w:sz w:val="18"/>
                <w:szCs w:val="18"/>
                <w:color w:val="auto"/>
              </w:rPr>
              <w:t>Telephone number:</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+49-6221-65307-64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33020</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86"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6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Nasdaq Stock Market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0000FF"/>
              </w:rPr>
              <w:t>2025-07-21</w:t>
            </w:r>
          </w:p>
        </w:tc>
        <w:tc>
          <w:tcPr>
            <w:tcW w:w="1740" w:type="dxa"/>
            <w:vAlign w:val="bottom"/>
            <w:gridSpan w:val="2"/>
          </w:tcPr>
          <w:p>
            <w:pPr>
              <w:ind w:left="40"/>
              <w:spacing w:after="0"/>
              <w:rPr>
                <w:sz w:val="20"/>
                <w:szCs w:val="20"/>
                <w:color w:val="auto"/>
              </w:rPr>
            </w:pPr>
            <w:r>
              <w:rPr>
                <w:rFonts w:ascii="Arial" w:cs="Arial" w:eastAsia="Arial" w:hAnsi="Arial"/>
                <w:sz w:val="18"/>
                <w:szCs w:val="18"/>
                <w:color w:val="auto"/>
              </w:rPr>
              <w:t>By</w:t>
            </w:r>
          </w:p>
        </w:tc>
        <w:tc>
          <w:tcPr>
            <w:tcW w:w="260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Aravind Menon</w:t>
            </w:r>
          </w:p>
        </w:tc>
        <w:tc>
          <w:tcPr>
            <w:tcW w:w="260" w:type="dxa"/>
            <w:vAlign w:val="bottom"/>
          </w:tcPr>
          <w:p>
            <w:pPr>
              <w:spacing w:after="0"/>
              <w:rPr>
                <w:sz w:val="21"/>
                <w:szCs w:val="21"/>
                <w:color w:val="auto"/>
              </w:rPr>
            </w:pPr>
          </w:p>
        </w:tc>
        <w:tc>
          <w:tcPr>
            <w:tcW w:w="20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Hearings Advisor</w:t>
            </w:r>
          </w:p>
        </w:tc>
      </w:tr>
      <w:tr>
        <w:trPr>
          <w:trHeight w:val="252"/>
        </w:trPr>
        <w:tc>
          <w:tcPr>
            <w:tcW w:w="2060" w:type="dxa"/>
            <w:vAlign w:val="bottom"/>
            <w:tcBorders>
              <w:top w:val="single" w:sz="8" w:color="auto"/>
            </w:tcBorders>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260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ind w:right="2859"/>
        <w:spacing w:after="0" w:line="257" w:lineRule="auto"/>
        <w:rPr>
          <w:sz w:val="20"/>
          <w:szCs w:val="20"/>
          <w:color w:val="auto"/>
        </w:rPr>
      </w:pPr>
      <w:r>
        <w:rPr>
          <w:rFonts w:ascii="Courier New" w:cs="Courier New" w:eastAsia="Courier New" w:hAnsi="Courier New"/>
          <w:sz w:val="18"/>
          <w:szCs w:val="18"/>
          <w:color w:val="auto"/>
        </w:rPr>
        <w:t>Delisting Determination, The Nasdaq Stock Market, LLC, July 11, 2025, Affimed N.V.</w:t>
      </w:r>
    </w:p>
    <w:p>
      <w:pPr>
        <w:ind w:right="3079"/>
        <w:spacing w:after="0" w:line="238" w:lineRule="auto"/>
        <w:rPr>
          <w:sz w:val="20"/>
          <w:szCs w:val="20"/>
          <w:color w:val="auto"/>
        </w:rPr>
      </w:pPr>
      <w:r>
        <w:rPr>
          <w:rFonts w:ascii="Courier New" w:cs="Courier New" w:eastAsia="Courier New" w:hAnsi="Courier New"/>
          <w:sz w:val="18"/>
          <w:szCs w:val="18"/>
          <w:color w:val="auto"/>
        </w:rPr>
        <w:t>The Nasdaq Stock Market LLC (the Exchange) has determined to remove from listing the security of Affimed N.V.</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effective at the opening of the trading session on July 31, 2025. Based on review of information provided by the Company, Nasdaq Staff determined that the Company no longer qualified for listing on the Exchange pursuant to Listing Rules 5101, 5110(b), and IM-5101-1.</w:t>
      </w:r>
    </w:p>
    <w:p>
      <w:pPr>
        <w:spacing w:after="0"/>
        <w:rPr>
          <w:sz w:val="20"/>
          <w:szCs w:val="20"/>
          <w:color w:val="auto"/>
        </w:rPr>
      </w:pPr>
      <w:r>
        <w:rPr>
          <w:rFonts w:ascii="Courier New" w:cs="Courier New" w:eastAsia="Courier New" w:hAnsi="Courier New"/>
          <w:sz w:val="16"/>
          <w:szCs w:val="16"/>
          <w:color w:val="auto"/>
        </w:rPr>
        <w:t>The Company was notified of the Staff determination on May 13,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 did not file an appeal.</w:t>
      </w:r>
    </w:p>
    <w:p>
      <w:pPr>
        <w:ind w:right="4759"/>
        <w:spacing w:after="0" w:line="273" w:lineRule="auto"/>
        <w:rPr>
          <w:sz w:val="20"/>
          <w:szCs w:val="20"/>
          <w:color w:val="auto"/>
        </w:rPr>
      </w:pPr>
      <w:r>
        <w:rPr>
          <w:rFonts w:ascii="Courier New" w:cs="Courier New" w:eastAsia="Courier New" w:hAnsi="Courier New"/>
          <w:sz w:val="18"/>
          <w:szCs w:val="18"/>
          <w:color w:val="auto"/>
        </w:rPr>
        <w:t>The Company security was suspended on May 20, 2025. The Staff determination to delist the Company security became final on May 20, 2025.</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001-36619" TargetMode="External"/><Relationship Id="rId11" Type="http://schemas.openxmlformats.org/officeDocument/2006/relationships/hyperlink" Target="http://www.sec.gov/cgi-bin/browse-edgar?action=getcompany&amp;CIK=00016083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2025-07-21T11:20:01Z</dcterms:created>
  <dcterms:modified xsi:type="dcterms:W3CDTF">2025-07-21T11:20:01Z</dcterms:modified>
</cp:coreProperties>
</file>