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47700dnt20f.htm"/>
      <w:bookmarkStart w:id="1" w:name="ksd847700dnt20f"/>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12b-25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LATE FILING </w:t>
      </w:r>
    </w:p>
    <w:p>
      <w:pPr>
        <w:pStyle w:val="TextBody"/>
        <w:bidi w:val="0"/>
        <w:spacing w:before="240" w:after="0"/>
        <w:jc w:val="right"/>
        <w:rPr>
          <w:rFonts w:ascii="Times New Roman" w:hAnsi="Times New Roman"/>
          <w:sz w:val="20"/>
        </w:rPr>
      </w:pPr>
      <w:r>
        <w:rPr>
          <w:rFonts w:ascii="Times New Roman" w:hAnsi="Times New Roman"/>
          <w:sz w:val="20"/>
        </w:rPr>
        <w:t xml:space="preserve">SEC File Number: 001-36619 </w:t>
      </w:r>
    </w:p>
    <w:p>
      <w:pPr>
        <w:pStyle w:val="TextBody"/>
        <w:bidi w:val="0"/>
        <w:spacing w:before="0" w:after="0"/>
        <w:jc w:val="right"/>
        <w:rPr>
          <w:rFonts w:ascii="Times New Roman" w:hAnsi="Times New Roman"/>
          <w:sz w:val="20"/>
        </w:rPr>
      </w:pPr>
      <w:r>
        <w:rPr>
          <w:rFonts w:ascii="Times New Roman" w:hAnsi="Times New Roman"/>
          <w:sz w:val="20"/>
        </w:rPr>
        <w:t xml:space="preserve">CUSIP Number: N01045207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right"/>
              <w:rPr>
                <w:i/>
              </w:rPr>
            </w:pPr>
            <w:r>
              <w:rPr>
                <w:i/>
              </w:rPr>
              <w:t>(Check one): </w:t>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0"/>
              <w:jc w:val="left"/>
              <w:rPr/>
            </w:pPr>
            <w:r>
              <w:rPr/>
              <w:t>☐ </w:t>
            </w:r>
            <w:r>
              <w:rPr>
                <w:rFonts w:ascii="Times New Roman" w:hAnsi="Times New Roman"/>
                <w:sz w:val="20"/>
              </w:rPr>
              <w:t>Form 10-K  ☒ Form 20-F  ☐ Form 11-K  ☐ Form 10-Q</w:t>
            </w:r>
          </w:p>
          <w:p>
            <w:pPr>
              <w:pStyle w:val="TableContents"/>
              <w:bidi w:val="0"/>
              <w:spacing w:before="0" w:after="20"/>
              <w:jc w:val="left"/>
              <w:rPr/>
            </w:pPr>
            <w:r>
              <w:rPr/>
              <w:t>☐ </w:t>
            </w:r>
            <w:r>
              <w:rPr>
                <w:rFonts w:ascii="Times New Roman" w:hAnsi="Times New Roman"/>
                <w:sz w:val="20"/>
              </w:rPr>
              <w:t>Form 10-D  ☐ Form N-SAR  ☐ Form N-CSR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Period Ended: December 31, 2024</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20-F</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11-K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10-Q</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N-SAR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Transition Period 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center"/>
              <w:rPr>
                <w:rFonts w:ascii="Times New Roman" w:hAnsi="Times New Roman"/>
                <w:i/>
                <w:sz w:val="20"/>
              </w:rPr>
            </w:pPr>
            <w:r>
              <w:rPr>
                <w:rFonts w:ascii="Times New Roman" w:hAnsi="Times New Roman"/>
                <w:i/>
                <w:sz w:val="20"/>
              </w:rPr>
              <w:t>Read Instruction (on back page) Before Preparing Form. Please Print or Type.</w:t>
            </w:r>
          </w:p>
          <w:p>
            <w:pPr>
              <w:pStyle w:val="TableContents"/>
              <w:bidi w:val="0"/>
              <w:spacing w:before="0" w:after="0"/>
              <w:jc w:val="center"/>
              <w:rPr>
                <w:rFonts w:ascii="Times New Roman" w:hAnsi="Times New Roman"/>
                <w:b/>
                <w:sz w:val="20"/>
              </w:rPr>
            </w:pPr>
            <w:r>
              <w:rPr>
                <w:rFonts w:ascii="Times New Roman" w:hAnsi="Times New Roman"/>
                <w:b/>
                <w:sz w:val="20"/>
              </w:rPr>
              <w:t>Nothing in this form shall be construed to imply that the Commission has verified any information contained herein.</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notification relates to a portion of the filing checked above, identify the Item(s) to which the notification relates: Not Applicable </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  REGISTRANT INFORMATION </w:t>
      </w:r>
    </w:p>
    <w:p>
      <w:pPr>
        <w:pStyle w:val="TextBody"/>
        <w:bidi w:val="0"/>
        <w:spacing w:before="240" w:after="0"/>
        <w:jc w:val="center"/>
        <w:rPr>
          <w:rFonts w:ascii="Times New Roman" w:hAnsi="Times New Roman"/>
          <w:b/>
          <w:sz w:val="44"/>
        </w:rPr>
      </w:pPr>
      <w:r>
        <w:rPr>
          <w:rFonts w:ascii="Times New Roman" w:hAnsi="Times New Roman"/>
          <w:b/>
          <w:sz w:val="44"/>
        </w:rPr>
        <w:t xml:space="preserve">Affimed N.V. </w:t>
      </w:r>
    </w:p>
    <w:p>
      <w:pPr>
        <w:pStyle w:val="TextBody"/>
        <w:bidi w:val="0"/>
        <w:spacing w:before="0" w:after="0"/>
        <w:jc w:val="center"/>
        <w:rPr>
          <w:rFonts w:ascii="Times New Roman" w:hAnsi="Times New Roman"/>
          <w:sz w:val="20"/>
        </w:rPr>
      </w:pPr>
      <w:r>
        <w:rPr>
          <w:rFonts w:ascii="Times New Roman" w:hAnsi="Times New Roman"/>
          <w:sz w:val="20"/>
        </w:rPr>
        <w:t xml:space="preserve">Full Name of Registrant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sz w:val="16"/>
        </w:rPr>
      </w:pPr>
      <w:r>
        <w:rPr>
          <w:rFonts w:ascii="Times New Roman" w:hAnsi="Times New Roman"/>
          <w:sz w:val="16"/>
        </w:rPr>
        <w:t xml:space="preserve">Former Name 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Gottlieb-Daimler-Straße 2 </w:t>
      </w:r>
    </w:p>
    <w:p>
      <w:pPr>
        <w:pStyle w:val="TextBody"/>
        <w:bidi w:val="0"/>
        <w:spacing w:before="0" w:after="0"/>
        <w:jc w:val="center"/>
        <w:rPr>
          <w:rFonts w:ascii="Times New Roman" w:hAnsi="Times New Roman"/>
          <w:sz w:val="16"/>
        </w:rPr>
      </w:pPr>
      <w:r>
        <w:rPr>
          <w:rFonts w:ascii="Times New Roman" w:hAnsi="Times New Roman"/>
          <w:sz w:val="16"/>
        </w:rPr>
        <w:t>Address of Principal Executive Office (Street and Number)</w:t>
      </w:r>
    </w:p>
    <w:p>
      <w:pPr>
        <w:pStyle w:val="TextBody"/>
        <w:bidi w:val="0"/>
        <w:spacing w:before="240" w:after="0"/>
        <w:jc w:val="center"/>
        <w:rPr>
          <w:rFonts w:ascii="Times New Roman" w:hAnsi="Times New Roman"/>
          <w:b/>
          <w:sz w:val="20"/>
        </w:rPr>
      </w:pPr>
      <w:r>
        <w:rPr>
          <w:rFonts w:ascii="Times New Roman" w:hAnsi="Times New Roman"/>
          <w:b/>
          <w:sz w:val="20"/>
        </w:rPr>
        <w:t xml:space="preserve">68165 Mannheim, Germany </w:t>
      </w:r>
    </w:p>
    <w:p>
      <w:pPr>
        <w:pStyle w:val="TextBody"/>
        <w:bidi w:val="0"/>
        <w:spacing w:before="0" w:after="0"/>
        <w:jc w:val="center"/>
        <w:rPr>
          <w:rFonts w:ascii="Times New Roman" w:hAnsi="Times New Roman"/>
          <w:sz w:val="16"/>
        </w:rPr>
      </w:pPr>
      <w:r>
        <w:rPr>
          <w:rFonts w:ascii="Times New Roman" w:hAnsi="Times New Roman"/>
          <w:sz w:val="16"/>
        </w:rPr>
        <w:t xml:space="preserve">City, State and Zip Code </w:t>
      </w:r>
    </w:p>
    <w:p>
      <w:pPr>
        <w:pStyle w:val="TextBody"/>
        <w:bidi w:val="0"/>
        <w:spacing w:before="360" w:after="0"/>
        <w:jc w:val="center"/>
        <w:rPr>
          <w:rFonts w:ascii="Times New Roman" w:hAnsi="Times New Roman"/>
          <w:b/>
          <w:sz w:val="20"/>
        </w:rPr>
      </w:pPr>
      <w:r>
        <w:rPr>
          <w:rFonts w:ascii="Times New Roman" w:hAnsi="Times New Roman"/>
          <w:b/>
          <w:sz w:val="20"/>
        </w:rPr>
        <w:t xml:space="preserve">PART II  RULES 12b-25(b) AND (c) </w:t>
      </w:r>
    </w:p>
    <w:p>
      <w:pPr>
        <w:pStyle w:val="TextBody"/>
        <w:bidi w:val="0"/>
        <w:spacing w:before="240" w:after="0"/>
        <w:jc w:val="left"/>
        <w:rPr>
          <w:rFonts w:ascii="Times New Roman" w:hAnsi="Times New Roman"/>
          <w:sz w:val="20"/>
        </w:rPr>
      </w:pPr>
      <w:r>
        <w:rPr>
          <w:rFonts w:ascii="Times New Roman" w:hAnsi="Times New Roman"/>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2"/>
        <w:gridCol w:w="106"/>
        <w:gridCol w:w="221"/>
        <w:gridCol w:w="106"/>
        <w:gridCol w:w="9450"/>
      </w:tblGrid>
      <w:tr>
        <w:trPr/>
        <w:tc>
          <w:tcPr>
            <w:tcW w:w="32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450" w:type="dxa"/>
            <w:tcBorders/>
            <w:vAlign w:val="center"/>
          </w:tcPr>
          <w:p>
            <w:pPr>
              <w:pStyle w:val="TableContents"/>
              <w:bidi w:val="0"/>
              <w:spacing w:before="0" w:after="283"/>
              <w:jc w:val="left"/>
              <w:rPr>
                <w:sz w:val="4"/>
                <w:szCs w:val="4"/>
              </w:rPr>
            </w:pPr>
            <w:r>
              <w:rPr>
                <w:sz w:val="4"/>
                <w:szCs w:val="4"/>
              </w:rPr>
            </w:r>
          </w:p>
        </w:tc>
      </w:tr>
      <w:tr>
        <w:trPr/>
        <w:tc>
          <w:tcPr>
            <w:tcW w:w="322" w:type="dxa"/>
            <w:vMerge w:val="restart"/>
            <w:tcBorders>
              <w:right w:val="single" w:sz="2" w:space="0" w:color="000000"/>
            </w:tcBorders>
            <w:tcMar>
              <w:right w:w="28" w:type="dxa"/>
            </w:tcMar>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21" w:type="dxa"/>
            <w:tcBorders/>
          </w:tcPr>
          <w:p>
            <w:pPr>
              <w:pStyle w:val="TableContents"/>
              <w:bidi w:val="0"/>
              <w:spacing w:before="0" w:after="283"/>
              <w:jc w:val="left"/>
              <w:rPr/>
            </w:pPr>
            <w:r>
              <w:rPr/>
              <w:t>(a)</w:t>
            </w:r>
          </w:p>
        </w:tc>
        <w:tc>
          <w:tcPr>
            <w:tcW w:w="106" w:type="dxa"/>
            <w:tcBorders/>
            <w:vAlign w:val="bottom"/>
          </w:tcPr>
          <w:p>
            <w:pPr>
              <w:pStyle w:val="TableContents"/>
              <w:bidi w:val="0"/>
              <w:spacing w:before="0" w:after="283"/>
              <w:jc w:val="left"/>
              <w:rPr/>
            </w:pPr>
            <w:r>
              <w:rPr/>
              <w:t> </w:t>
            </w:r>
          </w:p>
        </w:tc>
        <w:tc>
          <w:tcPr>
            <w:tcW w:w="9450" w:type="dxa"/>
            <w:tcBorders/>
          </w:tcPr>
          <w:p>
            <w:pPr>
              <w:pStyle w:val="TableContents"/>
              <w:bidi w:val="0"/>
              <w:spacing w:before="0" w:after="0"/>
              <w:jc w:val="left"/>
              <w:rPr>
                <w:rFonts w:ascii="Times New Roman" w:hAnsi="Times New Roman"/>
                <w:sz w:val="20"/>
              </w:rPr>
            </w:pPr>
            <w:r>
              <w:rPr>
                <w:rFonts w:ascii="Times New Roman" w:hAnsi="Times New Roman"/>
                <w:sz w:val="20"/>
              </w:rPr>
              <w:t>The reason described in reasonable detail in Part III of this form could not be eliminated without unreasonable effort or expense;</w:t>
            </w:r>
          </w:p>
          <w:p>
            <w:pPr>
              <w:pStyle w:val="TableContents"/>
              <w:bidi w:val="0"/>
              <w:spacing w:before="0" w:after="20"/>
              <w:jc w:val="left"/>
              <w:rPr/>
            </w:pPr>
            <w:r>
              <w:rPr/>
              <w:t> </w:t>
            </w:r>
          </w:p>
        </w:tc>
      </w:tr>
      <w:tr>
        <w:trPr/>
        <w:tc>
          <w:tcPr>
            <w:tcW w:w="322" w:type="dxa"/>
            <w:vMerge w:val="continue"/>
            <w:tcBorders>
              <w:right w:val="single" w:sz="2" w:space="0" w:color="000000"/>
            </w:tcBorders>
            <w:tcMar>
              <w:right w:w="28" w:type="dxa"/>
            </w:tcMar>
            <w:vAlign w:val="center"/>
          </w:tcPr>
          <w:p>
            <w:pPr>
              <w:pStyle w:val="Normal"/>
              <w:bidi w:val="0"/>
              <w:jc w:val="left"/>
              <w:rPr/>
            </w:pPr>
            <w:r>
              <w:rPr/>
            </w:r>
          </w:p>
        </w:tc>
        <w:tc>
          <w:tcPr>
            <w:tcW w:w="106" w:type="dxa"/>
            <w:tcBorders/>
            <w:vAlign w:val="bottom"/>
          </w:tcPr>
          <w:p>
            <w:pPr>
              <w:pStyle w:val="TableContents"/>
              <w:bidi w:val="0"/>
              <w:spacing w:before="0" w:after="283"/>
              <w:jc w:val="left"/>
              <w:rPr/>
            </w:pPr>
            <w:r>
              <w:rPr/>
              <w:t> </w:t>
            </w:r>
          </w:p>
        </w:tc>
        <w:tc>
          <w:tcPr>
            <w:tcW w:w="221" w:type="dxa"/>
            <w:tcBorders/>
          </w:tcPr>
          <w:p>
            <w:pPr>
              <w:pStyle w:val="TableContents"/>
              <w:bidi w:val="0"/>
              <w:spacing w:before="0" w:after="283"/>
              <w:jc w:val="left"/>
              <w:rPr/>
            </w:pPr>
            <w:r>
              <w:rPr/>
              <w:t>(b)</w:t>
            </w:r>
          </w:p>
        </w:tc>
        <w:tc>
          <w:tcPr>
            <w:tcW w:w="106" w:type="dxa"/>
            <w:tcBorders/>
            <w:vAlign w:val="bottom"/>
          </w:tcPr>
          <w:p>
            <w:pPr>
              <w:pStyle w:val="TableContents"/>
              <w:bidi w:val="0"/>
              <w:spacing w:before="0" w:after="283"/>
              <w:jc w:val="left"/>
              <w:rPr/>
            </w:pPr>
            <w:r>
              <w:rPr/>
              <w:t> </w:t>
            </w:r>
          </w:p>
        </w:tc>
        <w:tc>
          <w:tcPr>
            <w:tcW w:w="9450" w:type="dxa"/>
            <w:tcBorders/>
          </w:tcPr>
          <w:p>
            <w:pPr>
              <w:pStyle w:val="TableContents"/>
              <w:bidi w:val="0"/>
              <w:spacing w:before="0" w:after="0"/>
              <w:jc w:val="left"/>
              <w:rPr>
                <w:rFonts w:ascii="Times New Roman" w:hAnsi="Times New Roman"/>
                <w:sz w:val="20"/>
              </w:rPr>
            </w:pPr>
            <w:r>
              <w:rPr>
                <w:rFonts w:ascii="Times New Roman" w:hAnsi="Times New Roman"/>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ableContents"/>
              <w:bidi w:val="0"/>
              <w:spacing w:before="0" w:after="20"/>
              <w:jc w:val="left"/>
              <w:rPr/>
            </w:pPr>
            <w:r>
              <w:rPr/>
              <w:t> </w:t>
            </w:r>
          </w:p>
        </w:tc>
      </w:tr>
      <w:tr>
        <w:trPr/>
        <w:tc>
          <w:tcPr>
            <w:tcW w:w="322" w:type="dxa"/>
            <w:vMerge w:val="continue"/>
            <w:tcBorders>
              <w:right w:val="single" w:sz="2" w:space="0" w:color="000000"/>
            </w:tcBorders>
            <w:tcMar>
              <w:right w:w="28" w:type="dxa"/>
            </w:tcMar>
            <w:vAlign w:val="center"/>
          </w:tcPr>
          <w:p>
            <w:pPr>
              <w:pStyle w:val="Normal"/>
              <w:bidi w:val="0"/>
              <w:jc w:val="left"/>
              <w:rPr/>
            </w:pPr>
            <w:r>
              <w:rPr/>
            </w:r>
          </w:p>
        </w:tc>
        <w:tc>
          <w:tcPr>
            <w:tcW w:w="106" w:type="dxa"/>
            <w:tcBorders/>
            <w:vAlign w:val="bottom"/>
          </w:tcPr>
          <w:p>
            <w:pPr>
              <w:pStyle w:val="TableContents"/>
              <w:bidi w:val="0"/>
              <w:spacing w:before="0" w:after="283"/>
              <w:jc w:val="left"/>
              <w:rPr/>
            </w:pPr>
            <w:r>
              <w:rPr/>
              <w:t> </w:t>
            </w:r>
          </w:p>
        </w:tc>
        <w:tc>
          <w:tcPr>
            <w:tcW w:w="221" w:type="dxa"/>
            <w:tcBorders/>
          </w:tcPr>
          <w:p>
            <w:pPr>
              <w:pStyle w:val="TableContents"/>
              <w:bidi w:val="0"/>
              <w:spacing w:before="0" w:after="283"/>
              <w:jc w:val="left"/>
              <w:rPr/>
            </w:pPr>
            <w:r>
              <w:rPr/>
              <w:t>(c)</w:t>
            </w:r>
          </w:p>
        </w:tc>
        <w:tc>
          <w:tcPr>
            <w:tcW w:w="106" w:type="dxa"/>
            <w:tcBorders/>
            <w:vAlign w:val="bottom"/>
          </w:tcPr>
          <w:p>
            <w:pPr>
              <w:pStyle w:val="TableContents"/>
              <w:bidi w:val="0"/>
              <w:spacing w:before="0" w:after="283"/>
              <w:jc w:val="left"/>
              <w:rPr/>
            </w:pPr>
            <w:r>
              <w:rPr/>
              <w:t> </w:t>
            </w:r>
          </w:p>
        </w:tc>
        <w:tc>
          <w:tcPr>
            <w:tcW w:w="9450" w:type="dxa"/>
            <w:tcBorders/>
          </w:tcPr>
          <w:p>
            <w:pPr>
              <w:pStyle w:val="TableContents"/>
              <w:bidi w:val="0"/>
              <w:spacing w:before="0" w:after="283"/>
              <w:jc w:val="left"/>
              <w:rPr/>
            </w:pPr>
            <w:r>
              <w:rPr/>
              <w:t>The accountants statement or other exhibit required by Rule 12b-25(c) has been attached if applicable.</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PART III  NARRATIVE </w:t>
      </w:r>
    </w:p>
    <w:p>
      <w:pPr>
        <w:pStyle w:val="TextBody"/>
        <w:bidi w:val="0"/>
        <w:spacing w:before="240" w:after="0"/>
        <w:jc w:val="left"/>
        <w:rPr>
          <w:rFonts w:ascii="Times New Roman" w:hAnsi="Times New Roman"/>
          <w:sz w:val="20"/>
        </w:rPr>
      </w:pPr>
      <w:r>
        <w:rPr>
          <w:rFonts w:ascii="Times New Roman" w:hAnsi="Times New Roman"/>
          <w:sz w:val="20"/>
        </w:rPr>
        <w:t xml:space="preserve">State below in reasonable detail why Forms 10-K, 20-F, 11-K, 10-Q, 10-D, N-CEN, N-CSR or the transition report or portion thereof, could not be filed within the prescribed time period. </w:t>
      </w:r>
    </w:p>
    <w:p>
      <w:pPr>
        <w:pStyle w:val="TextBody"/>
        <w:bidi w:val="0"/>
        <w:spacing w:before="240" w:after="0"/>
        <w:jc w:val="left"/>
        <w:rPr>
          <w:rFonts w:ascii="Times New Roman" w:hAnsi="Times New Roman"/>
          <w:sz w:val="20"/>
        </w:rPr>
      </w:pPr>
      <w:r>
        <w:rPr>
          <w:rFonts w:ascii="Times New Roman" w:hAnsi="Times New Roman"/>
          <w:sz w:val="20"/>
        </w:rPr>
        <w:t xml:space="preserve">Affimed N.V. (the Company) was unable to file, without unreasonable effort and expense and within the prescribed time period, its Annual Report on Form 20-F for the year ended December 31, 2024 (the Form 20-F). The Company must enhance its liquidity position such that management can conclude that the Company will, on a more-likely-than-not basis, have sufficient liquidity to operate as a going concern for at least twelve months from the expected issuance date of the Form 20-F.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preliminarily estimates that, as of December 31, 2024, cash, cash equivalents and investments were approximately 13.0 million. The Company expects that its cash-runway is sufficient to fund its operations until the end of Q2 2025. This represents an update from the Companys prior guidance, which projected cash-runway into Q4 2025. The Company is engaging in discussions with potential investors and partners with respect to potential strategic transactions to raise additional capital, however, there can be no assurance that the Company will be successful in raising additional capital. </w:t>
      </w:r>
    </w:p>
    <w:p>
      <w:pPr>
        <w:pStyle w:val="TextBody"/>
        <w:bidi w:val="0"/>
        <w:spacing w:before="240" w:after="0"/>
        <w:jc w:val="left"/>
        <w:rPr>
          <w:rFonts w:ascii="Times New Roman" w:hAnsi="Times New Roman"/>
          <w:sz w:val="20"/>
        </w:rPr>
      </w:pPr>
      <w:r>
        <w:rPr>
          <w:rFonts w:ascii="Times New Roman" w:hAnsi="Times New Roman"/>
          <w:sz w:val="20"/>
        </w:rPr>
        <w:t xml:space="preserve">Under German law, management is required to file for insolvency without undue delay if the company is deemed either illiquid or over-indebted. A company is generally considered illiquid if it is unable to meet its due payment obligations and the resulting liquidity shortfall cannot be resolved within the next three weeks. A company is generally considered over-indebted if management concludes that the company is, on a more-likely-than-not basis, unable to meet its payment obligations as and when they fall due within the next twelve months, unless the liquidation value of its assets exceeds the face value of its liabilities plus provisions for the cost of liquidation. As a result, the obligation to file for insolvency may arise even before the Company has fully depleted its available cash reserves. While, as of the date of this Form 12B-25, management continues to believe that the Company is more likely than not to raise additional capital sufficient to continue as a going concern for at least twelve months from the expected issuance date of the Form 20-F, there can be no assurance that such capital will in fact be obtained or that a mandatory insolvency filing can ultimately be avoided. </w:t>
      </w:r>
    </w:p>
    <w:p>
      <w:pPr>
        <w:pStyle w:val="TextBody"/>
        <w:bidi w:val="0"/>
        <w:spacing w:before="240" w:after="0"/>
        <w:jc w:val="left"/>
        <w:rPr>
          <w:rFonts w:ascii="Times New Roman" w:hAnsi="Times New Roman"/>
          <w:sz w:val="20"/>
        </w:rPr>
      </w:pPr>
      <w:r>
        <w:rPr>
          <w:rFonts w:ascii="Times New Roman" w:hAnsi="Times New Roman"/>
          <w:sz w:val="20"/>
        </w:rPr>
        <w:t xml:space="preserve">The Company plans to file the Form 20-F as soon as practicable but cannot offer assurance that it will do so within the fifteen calendar days following the prescribed due date in accordance with Rule 12b-25. </w:t>
      </w:r>
    </w:p>
    <w:p>
      <w:pPr>
        <w:pStyle w:val="TextBody"/>
        <w:bidi w:val="0"/>
        <w:spacing w:before="360" w:after="0"/>
        <w:jc w:val="center"/>
        <w:rPr>
          <w:rFonts w:ascii="Times New Roman" w:hAnsi="Times New Roman"/>
          <w:b/>
          <w:sz w:val="20"/>
        </w:rPr>
      </w:pPr>
      <w:r>
        <w:rPr>
          <w:rFonts w:ascii="Times New Roman" w:hAnsi="Times New Roman"/>
          <w:b/>
          <w:sz w:val="20"/>
        </w:rPr>
        <w:t xml:space="preserve">PART IV  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
        <w:gridCol w:w="107"/>
        <w:gridCol w:w="260"/>
        <w:gridCol w:w="107"/>
        <w:gridCol w:w="3407"/>
        <w:gridCol w:w="107"/>
        <w:gridCol w:w="260"/>
        <w:gridCol w:w="107"/>
        <w:gridCol w:w="1581"/>
        <w:gridCol w:w="107"/>
        <w:gridCol w:w="260"/>
        <w:gridCol w:w="107"/>
        <w:gridCol w:w="3550"/>
      </w:tblGrid>
      <w:tr>
        <w:trPr/>
        <w:tc>
          <w:tcPr>
            <w:tcW w:w="24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pPr>
            <w:r>
              <w:rPr/>
              <w:t>(1)</w:t>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486" w:type="dxa"/>
            <w:gridSpan w:val="9"/>
            <w:tcBorders/>
          </w:tcPr>
          <w:p>
            <w:pPr>
              <w:pStyle w:val="TableContents"/>
              <w:bidi w:val="0"/>
              <w:spacing w:before="0" w:after="283"/>
              <w:jc w:val="left"/>
              <w:rPr/>
            </w:pPr>
            <w:r>
              <w:rPr/>
              <w:t>Name and telephone number of person to contact in regard to this notification.</w:t>
            </w:r>
          </w:p>
        </w:tc>
      </w:tr>
      <w:tr>
        <w:trPr>
          <w:trHeight w:val="240" w:hRule="atLeast"/>
        </w:trPr>
        <w:tc>
          <w:tcPr>
            <w:tcW w:w="245"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1688" w:type="dxa"/>
            <w:gridSpan w:val="2"/>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407" w:type="dxa"/>
            <w:tcBorders>
              <w:bottom w:val="single" w:sz="2" w:space="0" w:color="000000"/>
            </w:tcBorders>
            <w:tcMar>
              <w:bottom w:w="28" w:type="dxa"/>
            </w:tcMar>
          </w:tcPr>
          <w:p>
            <w:pPr>
              <w:pStyle w:val="TableContents"/>
              <w:bidi w:val="0"/>
              <w:spacing w:before="0" w:after="283"/>
              <w:jc w:val="center"/>
              <w:rPr/>
            </w:pPr>
            <w:r>
              <w:rPr/>
              <w:t>Shawn Leland</w:t>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pPr>
            <w:r>
              <w:rPr/>
              <w:t> </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1581" w:type="dxa"/>
            <w:tcBorders>
              <w:bottom w:val="single" w:sz="2" w:space="0" w:color="000000"/>
            </w:tcBorders>
            <w:tcMar>
              <w:bottom w:w="28" w:type="dxa"/>
            </w:tcMar>
          </w:tcPr>
          <w:p>
            <w:pPr>
              <w:pStyle w:val="TableContents"/>
              <w:bidi w:val="0"/>
              <w:spacing w:before="0" w:after="283"/>
              <w:jc w:val="left"/>
              <w:rPr/>
            </w:pPr>
            <w:r>
              <w:rPr/>
              <w:t>   </w:t>
            </w:r>
            <w:r>
              <w:rPr/>
              <w:t>(49)   </w:t>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pPr>
            <w:r>
              <w:rPr/>
              <w:t> </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tcPr>
          <w:p>
            <w:pPr>
              <w:pStyle w:val="TableContents"/>
              <w:bidi w:val="0"/>
              <w:spacing w:before="0" w:after="283"/>
              <w:jc w:val="center"/>
              <w:rPr/>
            </w:pPr>
            <w:r>
              <w:rPr/>
              <w:t>621-560-030</w:t>
            </w:r>
          </w:p>
        </w:tc>
      </w:tr>
      <w:tr>
        <w:trPr/>
        <w:tc>
          <w:tcPr>
            <w:tcW w:w="2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07" w:type="dxa"/>
            <w:tcBorders/>
          </w:tcPr>
          <w:p>
            <w:pPr>
              <w:pStyle w:val="TableContents"/>
              <w:bidi w:val="0"/>
              <w:spacing w:before="0" w:after="283"/>
              <w:jc w:val="center"/>
              <w:rPr/>
            </w:pPr>
            <w:r>
              <w:rPr/>
              <w:t>(Name)</w:t>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center"/>
              <w:rPr/>
            </w:pPr>
            <w:r>
              <w:rPr/>
              <w:t>(Area Code)</w:t>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50" w:type="dxa"/>
            <w:tcBorders/>
          </w:tcPr>
          <w:p>
            <w:pPr>
              <w:pStyle w:val="TableContents"/>
              <w:bidi w:val="0"/>
              <w:spacing w:before="0" w:after="283"/>
              <w:jc w:val="center"/>
              <w:rPr/>
            </w:pPr>
            <w:r>
              <w:rPr/>
              <w:t>(Telephone Number)</w:t>
            </w:r>
          </w:p>
        </w:tc>
      </w:tr>
      <w:tr>
        <w:trPr>
          <w:trHeight w:val="120" w:hRule="atLeast"/>
        </w:trPr>
        <w:tc>
          <w:tcPr>
            <w:tcW w:w="245"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3"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pPr>
            <w:r>
              <w:rPr/>
              <w:t>(2)</w:t>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486" w:type="dxa"/>
            <w:gridSpan w:val="9"/>
            <w:tcBorders/>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report(s). Yes ☒ No ☐</w:t>
            </w:r>
          </w:p>
        </w:tc>
      </w:tr>
      <w:tr>
        <w:trPr>
          <w:trHeight w:val="240" w:hRule="atLeast"/>
        </w:trPr>
        <w:tc>
          <w:tcPr>
            <w:tcW w:w="245"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3"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9486" w:type="dxa"/>
            <w:gridSpan w:val="9"/>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245"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3"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pPr>
            <w:r>
              <w:rPr/>
              <w:t>(3)</w:t>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486" w:type="dxa"/>
            <w:gridSpan w:val="9"/>
            <w:tcBorders/>
          </w:tcPr>
          <w:p>
            <w:pPr>
              <w:pStyle w:val="TableContents"/>
              <w:bidi w:val="0"/>
              <w:spacing w:before="0" w:after="283"/>
              <w:jc w:val="left"/>
              <w:rPr/>
            </w:pPr>
            <w:r>
              <w:rPr/>
              <w:t>Is it anticipated that any significant change in results of operations from the corresponding period for the last fiscal year will be reflected by the earnings statements to be included in the subject report or portion thereof? Yes ☐ No ☒</w:t>
            </w:r>
          </w:p>
        </w:tc>
      </w:tr>
      <w:tr>
        <w:trPr>
          <w:trHeight w:val="120" w:hRule="atLeast"/>
        </w:trPr>
        <w:tc>
          <w:tcPr>
            <w:tcW w:w="245" w:type="dxa"/>
            <w:tcBorders/>
            <w:vAlign w:val="center"/>
          </w:tcPr>
          <w:p>
            <w:pPr>
              <w:pStyle w:val="TableContents"/>
              <w:bidi w:val="0"/>
              <w:spacing w:before="0" w:after="283"/>
              <w:jc w:val="left"/>
              <w:rPr>
                <w:sz w:val="4"/>
                <w:szCs w:val="4"/>
              </w:rPr>
            </w:pPr>
            <w:r>
              <w:rPr>
                <w:sz w:val="4"/>
                <w:szCs w:val="4"/>
              </w:rPr>
            </w:r>
          </w:p>
        </w:tc>
        <w:tc>
          <w:tcPr>
            <w:tcW w:w="367" w:type="dxa"/>
            <w:gridSpan w:val="2"/>
            <w:tcBorders/>
            <w:vAlign w:val="center"/>
          </w:tcPr>
          <w:p>
            <w:pPr>
              <w:pStyle w:val="TableContents"/>
              <w:bidi w:val="0"/>
              <w:spacing w:before="0" w:after="283"/>
              <w:jc w:val="left"/>
              <w:rPr>
                <w:sz w:val="4"/>
                <w:szCs w:val="4"/>
              </w:rPr>
            </w:pPr>
            <w:r>
              <w:rPr>
                <w:sz w:val="4"/>
                <w:szCs w:val="4"/>
              </w:rPr>
            </w:r>
          </w:p>
        </w:tc>
        <w:tc>
          <w:tcPr>
            <w:tcW w:w="9593" w:type="dxa"/>
            <w:gridSpan w:val="10"/>
            <w:tcBorders/>
            <w:vAlign w:val="center"/>
          </w:tcPr>
          <w:p>
            <w:pPr>
              <w:pStyle w:val="TableContents"/>
              <w:bidi w:val="0"/>
              <w:spacing w:before="0" w:after="283"/>
              <w:jc w:val="left"/>
              <w:rPr>
                <w:sz w:val="4"/>
                <w:szCs w:val="4"/>
              </w:rPr>
            </w:pPr>
            <w:r>
              <w:rPr>
                <w:sz w:val="4"/>
                <w:szCs w:val="4"/>
              </w:rPr>
            </w:r>
          </w:p>
        </w:tc>
      </w:tr>
      <w:tr>
        <w:trPr/>
        <w:tc>
          <w:tcPr>
            <w:tcW w:w="24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486" w:type="dxa"/>
            <w:gridSpan w:val="9"/>
            <w:tcBorders/>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PRELIMINARY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Form 12b-25 contains certain preliminary estimated financial information of the Company as of the year ended December 31, 2024 and certain preliminary information related to the Companys 2025 outlook. Such preliminary information is not yet finalized, remains subject to completion and reflects managements current estimates. The preliminary estimated financial information is subject to the finalization and closing of the accounting books and records of the Company (which have yet to be performed) and should not be viewed as a substitute for financial statements prepared in accordance with International Financial Reporting Standards as issued by the International Accounting Standard Board. While carrying out such procedures, the Company may identify items that require adjustments to the preliminary estimates set forth in this Form 12b-25. In addition, other developments may arise between the date of this Form 12b-25 and the date that the Company reports the results for the year ended December 31, 2024, which may cause actual results to be different than the preliminary estimates set forth in this Form 12b-25. There can be no assurance that the Companys final results will not differ from these preliminary estimates, which are forward-looking statements based only on currently available information as of the date hereof. Therefore, you should not place undue reliance on these preliminary estimates nor should you view these as a substitute for the Companys audited financial statements for the year ended December 31, 2024. No independent registered public accounting firm has audited, reviewed or compiled, examined or performed any procedures with respect to these preliminary results, nor have they expressed any opinion or any other form of assurance on the preliminary results.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information is presented for informational purposes only and does not purport to represent the Companys financial condition or results of operations for any future date or period. As a result, caution should be exercised in relying on this information and no inferences should be drawn from this information regarding financial or operating data not provided.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Form 12b-25 contains forward-looking statements within the meaning of Section 27A of the Securities Act of 1933, as amended, and Section 21E of the Securities Exchange Act of 1934, as amended. The words plan, will, believe, anticipate, doubt, expect, intend, and similar terms and phrases are used in this Form 12b-25 to identify forward-looking statements, including statements regarding the Companys ability to file the Form 20-F within the time period prescribed by Rule 12b-25, discussions with potential investors and partners with respect to potential strategic transactions to raise additional capital and the Companys expectations regarding its financial and business performance, including the Companys preliminary financial results for the year ended December 31, 2024, the Companys preliminary 2025 outlook regarding its cash-runway and the Companys ability to continue as a going concern. Actual results may differ materially from the results anticipated by the Companys forward-looking statements due to certain risks, uncertainties and other factors described under the heading Risk Factors in the Companys filings with the Securities and Exchange Commission. Given these risks, uncertainties, and other factors, you should not place undue reliance on these forward-looking statements, and the Company assumes no obligation to update these forward-looking statements, even if new information becomes available in the future.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Affimed N.V. </w:t>
      </w:r>
    </w:p>
    <w:p>
      <w:pPr>
        <w:pStyle w:val="TextBody"/>
        <w:bidi w:val="0"/>
        <w:spacing w:before="0" w:after="0"/>
        <w:jc w:val="center"/>
        <w:rPr>
          <w:rFonts w:ascii="Times New Roman" w:hAnsi="Times New Roman"/>
          <w:sz w:val="20"/>
        </w:rPr>
      </w:pPr>
      <w:r>
        <w:rPr>
          <w:rFonts w:ascii="Times New Roman" w:hAnsi="Times New Roman"/>
          <w:sz w:val="20"/>
        </w:rPr>
        <w:t xml:space="preserve">(Name of Registrant as Specified in Charter) </w:t>
      </w:r>
    </w:p>
    <w:p>
      <w:pPr>
        <w:pStyle w:val="TextBody"/>
        <w:bidi w:val="0"/>
        <w:spacing w:before="240" w:after="0"/>
        <w:jc w:val="left"/>
        <w:rPr>
          <w:rFonts w:ascii="Times New Roman" w:hAnsi="Times New Roman"/>
          <w:sz w:val="20"/>
        </w:rPr>
      </w:pPr>
      <w:r>
        <w:rPr>
          <w:rFonts w:ascii="Times New Roman" w:hAnsi="Times New Roman"/>
          <w:sz w:val="20"/>
        </w:rPr>
        <w:t xml:space="preserve">has caused this notification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0"/>
        <w:gridCol w:w="108"/>
        <w:gridCol w:w="394"/>
        <w:gridCol w:w="108"/>
        <w:gridCol w:w="599"/>
        <w:gridCol w:w="108"/>
        <w:gridCol w:w="4488"/>
      </w:tblGrid>
      <w:tr>
        <w:trPr/>
        <w:tc>
          <w:tcPr>
            <w:tcW w:w="44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88" w:type="dxa"/>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t>Date: May 1, 2025</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88" w:type="dxa"/>
            <w:tcBorders>
              <w:bottom w:val="single" w:sz="2" w:space="0" w:color="000000"/>
            </w:tcBorders>
            <w:tcMar>
              <w:bottom w:w="28" w:type="dxa"/>
            </w:tcMar>
          </w:tcPr>
          <w:p>
            <w:pPr>
              <w:pStyle w:val="TableContents"/>
              <w:bidi w:val="0"/>
              <w:spacing w:before="0" w:after="283"/>
              <w:jc w:val="left"/>
              <w:rPr/>
            </w:pPr>
            <w:r>
              <w:rPr/>
              <w:t>/s/ Shawn Leland</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Shawn Leland</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88"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1550</Words>
  <Characters>8125</Characters>
  <CharactersWithSpaces>9677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 20-F</dc:title>
</cp:coreProperties>
</file>