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Affimed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N01045207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N01045207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Ridgeback Capital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N01045207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Ridgeback Capital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N01045207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Ridgeback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Affimed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99"/>
        <w:spacing w:after="0"/>
        <w:rPr>
          <w:sz w:val="20"/>
          <w:szCs w:val="20"/>
          <w:color w:val="auto"/>
        </w:rPr>
      </w:pPr>
      <w:r>
        <w:rPr>
          <w:rFonts w:ascii="Times New Roman" w:cs="Times New Roman" w:eastAsia="Times New Roman" w:hAnsi="Times New Roman"/>
          <w:sz w:val="22"/>
          <w:szCs w:val="22"/>
          <w:color w:val="auto"/>
        </w:rPr>
        <w:t>Gottlieb-Daimler-Strasse 2 Mannheim, 2M, 68165</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This statement is filed on behalf of the following persons with respect to shares of common stock of the Company acquired by them (the "Shares"): (i) Ridgeback Capital Investments L.P., Delaware limited partnership ("RCILP"), with respect to Shares beneficially owned by it; (ii) Ridgeback Capital Investments LLC, a Delaware limited liability company ("RCI"), with respect to Shares beneficially owned by it; and (iii) Ridgeback Capital Management LLC, a Delaware limited liability company ("RCM"), with respect to Shares beneficially owned by it. The foregoing persons</w:t>
      </w:r>
    </w:p>
    <w:p>
      <w:pPr>
        <w:spacing w:after="0" w:line="1"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hereinafter referred to collectively as the "Reporting Persons." Any disclosures herein with respect to persons other than the Reporting Persons are made on information and belief after making inquiry to the appropriate party. RCM and RCI do not own any Shares directly. RCI is the general partner of RCILP. Pursuant to an investment management agreement, RCM maintains investment and voting power with respect to the securities held or controlled by RCI. Wayne Holman, an individual, controls RCM. By reason of the provisions of Rule 13d-3 of the Securities Exchange Act of 1934, as amended, RCM and RCI may be deemed to own beneficially all of the Shares (constituting approximately 0.0% of the shares outstanding). Each of RCM and RCI disclaim beneficial ownership of any of the securities covered by this statement, except to the extent of any pecuniary interest therein.</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 Star Island Drive, Miami, FL, 33139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RCILP is a Delaware limited partnership. RCI is a Delaware limited liability company. RCM is a Delaware limited liability company.</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N01045207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6"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Ridgeback Capital Investments L.P.: -0- Ridgeback Capital Investments LLC: -0- Ridgeback Capital Management</w:t>
      </w:r>
    </w:p>
    <w:p>
      <w:pPr>
        <w:ind w:left="920" w:right="8740"/>
        <w:spacing w:after="0" w:line="312" w:lineRule="auto"/>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1"/>
          <w:szCs w:val="21"/>
          <w:color w:val="auto"/>
        </w:rPr>
        <w:t>LLC: -0-Percent of class:</w:t>
      </w:r>
    </w:p>
    <w:p>
      <w:pPr>
        <w:ind w:left="920" w:hanging="912"/>
        <w:spacing w:after="0" w:line="228" w:lineRule="auto"/>
        <w:tabs>
          <w:tab w:leader="none" w:pos="920" w:val="left"/>
        </w:tabs>
        <w:numPr>
          <w:ilvl w:val="0"/>
          <w:numId w:val="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Ridgeback Capital Investments L.P.: 0.0% Ridgeback Capital Investments LLC: 0.0% Ridgeback Capital</w:t>
      </w:r>
    </w:p>
    <w:p>
      <w:pPr>
        <w:ind w:left="9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Management LLC: 0.0% %</w:t>
      </w:r>
    </w:p>
    <w:p>
      <w:pPr>
        <w:spacing w:after="0" w:line="20" w:lineRule="exact"/>
        <w:rPr>
          <w:rFonts w:ascii="Times New Roman" w:cs="Times New Roman" w:eastAsia="Times New Roman" w:hAnsi="Times New Roman"/>
          <w:sz w:val="43"/>
          <w:szCs w:val="43"/>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Ridgeback Capital Investments L.P.: -0- Ridgeback Capital Investments LLC: -0- Ridgeback Capital Management</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LLC: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80"/>
          </w:cols>
          <w:pgMar w:left="360" w:top="112" w:right="45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Ridgeback Capital Investments L.P.: -0- Ridgeback Capital Investments LLC: -0- Ridgeback Capital Management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LLC: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Ridgeback Capital Investments L.P.: -0- Ridgeback Capital Investments LLC: -0- Ridgeback Capital Management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LLC: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Ridgeback Capital Investments L.P.: -0- Ridgeback Capital Investments LLC: -0- Ridgeback Capital Management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LLC: -0-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Ridgeback Capital Investments L.P.</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Venezia</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Nicole Venezia/General Counsel</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05/20/2025</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Ridgeback Capital Investments LLC</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Venezia</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Nicole Venezia/General Counsel</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05/20/2025</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Ridgeback Capital Management LLC</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Venezia</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Nicole Venezia/General Counsel</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05/20/2025</w:t>
      </w:r>
    </w:p>
    <w:p>
      <w:pPr>
        <w:spacing w:after="0" w:line="108"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Number 99.1 (previously filed) - Joint Filing Agreement</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2025-05-20T15:05:28Z</dcterms:created>
  <dcterms:modified xsi:type="dcterms:W3CDTF">2025-05-20T15:05:28Z</dcterms:modified>
</cp:coreProperties>
</file>