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43"/>
          <w:szCs w:val="43"/>
          <w:b w:val="1"/>
          <w:bCs w:val="1"/>
          <w:color w:val="auto"/>
        </w:rPr>
        <w:t>Affimed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Gottlieb-Daimler-Straße 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68165 Mannheim</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Exhibits 99.1 and 99.2 to this Report on Form 6-K shall be deemed to be incorporated by reference into the registration statements on Form F-3 (Registration Number 333-282978), Form S-8 (Registration Number 333-198812) and Form S-8 (Registration Number 333-270798) of Affimed N.V. and to be a part thereof from the date on which this report is filed, to the extent not superseded by documents or reports subsequently filed or furnished.</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99.3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00"/>
          </w:cols>
          <w:pgMar w:left="440" w:top="266"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AFFIMED N.V.</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Leland</w:t>
            </w:r>
          </w:p>
        </w:tc>
      </w:tr>
      <w:tr>
        <w:trPr>
          <w:trHeight w:val="218"/>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Shawn Leland</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Mueller</w:t>
            </w:r>
          </w:p>
        </w:tc>
      </w:tr>
      <w:tr>
        <w:trPr>
          <w:trHeight w:val="218"/>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Denise Mueller</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Affimed N.V. Unaudited Condensed Consolidated Interim Financial Statements as of September 30,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Affimed N.V. Management’s Discussion and Analysis of Financial Condition and Results of Operations.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color w:val="auto"/>
        </w:rPr>
        <w:t>Affimed N.V. Press Release dated November 14, 2024.</w:t>
      </w:r>
    </w:p>
    <w:p>
      <w:pPr>
        <w:sectPr>
          <w:pgSz w:w="11900" w:h="16838" w:orient="portrait"/>
          <w:cols w:equalWidth="0" w:num="1">
            <w:col w:w="10019"/>
          </w:cols>
          <w:pgMar w:left="440" w:top="26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1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Affimed N.V.</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interim statements of comprehensive loss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 thousand)</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20" w:type="dxa"/>
            <w:vAlign w:val="bottom"/>
            <w:vMerge w:val="restart"/>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160" w:type="dxa"/>
            <w:vAlign w:val="bottom"/>
            <w:gridSpan w:val="4"/>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60" w:type="dxa"/>
            <w:vAlign w:val="bottom"/>
            <w:gridSpan w:val="4"/>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88"/>
              </w:rPr>
              <w:t>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7,862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expenses – net</w:t>
            </w:r>
          </w:p>
        </w:tc>
        <w:tc>
          <w:tcPr>
            <w:tcW w:w="10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(37,254)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(76,302)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88"/>
              </w:rPr>
              <w:t>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(24,923)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(49,371)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(85,826)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income / (costs) – net</w:t>
            </w:r>
          </w:p>
        </w:tc>
        <w:tc>
          <w:tcPr>
            <w:tcW w:w="102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88"/>
              </w:rPr>
              <w:t>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(15,138)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(49,761)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(85,730)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(15,139)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(49,765)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(85,733)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(15,139)</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(24,355)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(49,765)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in € per share (undiluted = diluted)</w:t>
            </w:r>
          </w:p>
        </w:tc>
        <w:tc>
          <w:tcPr>
            <w:tcW w:w="1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(0.94)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(5.74)</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number of common shares outstanding</w:t>
            </w:r>
          </w:p>
        </w:tc>
        <w:tc>
          <w:tcPr>
            <w:tcW w:w="10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16,100,185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14,933,934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15,553,627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14,933,934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Affimed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 thousand)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9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and equipment</w:t>
            </w:r>
          </w:p>
        </w:tc>
        <w:tc>
          <w:tcPr>
            <w:tcW w:w="29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2,246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5,307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8,039</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4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7,405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38,529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92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16,695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92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92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4,543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9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prepaid expenses</w:t>
            </w:r>
          </w:p>
        </w:tc>
        <w:tc>
          <w:tcPr>
            <w:tcW w:w="292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rPr>
              <w:t>9</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2,908</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4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39,959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97,157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29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1,639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reserves</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602,680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593,666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reserves</w:t>
            </w:r>
          </w:p>
        </w:tc>
        <w:tc>
          <w:tcPr>
            <w:tcW w:w="2920" w:type="dxa"/>
            <w:vAlign w:val="bottom"/>
          </w:tcPr>
          <w:p>
            <w:pPr>
              <w:spacing w:after="0"/>
              <w:rPr>
                <w:sz w:val="18"/>
                <w:szCs w:val="18"/>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(1,231)</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(585,893)</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(536,128)</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9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17,195</w:t>
            </w:r>
          </w:p>
        </w:tc>
        <w:tc>
          <w:tcPr>
            <w:tcW w:w="4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liabilities</w:t>
            </w:r>
          </w:p>
        </w:tc>
        <w:tc>
          <w:tcPr>
            <w:tcW w:w="2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292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9"/>
              </w:rPr>
              <w:t>12</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2,231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92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9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4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9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5,986</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13,443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9,256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292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9"/>
              </w:rPr>
              <w:t>12</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5,833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92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9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16,778</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25,907</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92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39,959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97,157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Affimed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interim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 thousand)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1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20" w:type="dxa"/>
            <w:vAlign w:val="bottom"/>
            <w:gridSpan w:val="4"/>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8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(49,765)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(85,733)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the period:</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 Income taxes</w:t>
            </w:r>
          </w:p>
        </w:tc>
        <w:tc>
          <w:tcPr>
            <w:tcW w:w="1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amortization</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 Net (gain)/loss on disposal of leasehold improvements and equipment</w:t>
            </w:r>
          </w:p>
        </w:tc>
        <w:tc>
          <w:tcPr>
            <w:tcW w:w="1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Loss from write-down of inventories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 Share-based payments</w:t>
            </w:r>
          </w:p>
        </w:tc>
        <w:tc>
          <w:tcPr>
            <w:tcW w:w="11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88"/>
              </w:rPr>
              <w:t>11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Finance income / (costs) – net</w:t>
            </w:r>
          </w:p>
        </w:tc>
        <w:tc>
          <w:tcPr>
            <w:tcW w:w="11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88"/>
              </w:rPr>
              <w:t>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(43,861)</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Change in inventories</w:t>
            </w:r>
          </w:p>
        </w:tc>
        <w:tc>
          <w:tcPr>
            <w:tcW w:w="1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other assets and prepaid expenses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Change in trade, other payables, provisions and contract liabilities</w:t>
            </w:r>
          </w:p>
        </w:tc>
        <w:tc>
          <w:tcPr>
            <w:tcW w:w="1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(50,706)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(85,252)</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interest</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Paid income tax</w:t>
            </w:r>
          </w:p>
        </w:tc>
        <w:tc>
          <w:tcPr>
            <w:tcW w:w="1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(51,462)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(84,827)</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leasehold improvements and equipment, including upfront payments for right-of-use assets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the sale of financial assets</w:t>
            </w:r>
          </w:p>
        </w:tc>
        <w:tc>
          <w:tcPr>
            <w:tcW w:w="1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investments in financial assets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(34,246)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the sale of leasehold improvements and equipment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 (used) for investing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(37,466)</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 of common shares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related to issue of common shares</w:t>
            </w:r>
          </w:p>
        </w:tc>
        <w:tc>
          <w:tcPr>
            <w:tcW w:w="1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11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9"/>
              </w:rPr>
              <w:t>12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 (used) for financing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(4,824)</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Exchange-rate related changes of cash and cash equivalents</w:t>
            </w:r>
          </w:p>
        </w:tc>
        <w:tc>
          <w:tcPr>
            <w:tcW w:w="1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changes to cash and cash equivalents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(31,080)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(127,117)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38,529</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190,286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62,817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Affimed N.V.</w:t>
      </w:r>
    </w:p>
    <w:p>
      <w:pPr>
        <w:spacing w:after="0" w:line="31" w:lineRule="exact"/>
        <w:rPr>
          <w:sz w:val="20"/>
          <w:szCs w:val="20"/>
          <w:color w:val="auto"/>
        </w:rPr>
      </w:pPr>
    </w:p>
    <w:p>
      <w:pPr>
        <w:ind w:right="522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consolidated interim statements of changes in equity for the year (in € thousand)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1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Note</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582,843</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(430,190)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152,915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Equity-settled share-based payment awards</w:t>
            </w:r>
          </w:p>
        </w:tc>
        <w:tc>
          <w:tcPr>
            <w:tcW w:w="2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(85,733)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(85,733)</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2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592,081</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3"/>
              </w:rPr>
              <w:t>(1,231)</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(515,923)</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593,666</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(536,128)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57,807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Issue of common shares</w:t>
            </w:r>
          </w:p>
        </w:tc>
        <w:tc>
          <w:tcPr>
            <w:tcW w:w="2120" w:type="dxa"/>
            <w:vAlign w:val="bottom"/>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212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awards</w:t>
            </w:r>
          </w:p>
        </w:tc>
        <w:tc>
          <w:tcPr>
            <w:tcW w:w="21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(49,765)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602,680</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(585,893)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17,195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 w:name="page9"/>
    <w:bookmarkEnd w:id="8"/>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entity</w:t>
      </w:r>
    </w:p>
    <w:p>
      <w:pPr>
        <w:spacing w:after="0" w:line="119" w:lineRule="exact"/>
        <w:rPr>
          <w:sz w:val="20"/>
          <w:szCs w:val="20"/>
          <w:color w:val="auto"/>
        </w:rPr>
      </w:pPr>
    </w:p>
    <w:p>
      <w:pPr>
        <w:ind w:left="4" w:right="80"/>
        <w:spacing w:after="0" w:line="284" w:lineRule="auto"/>
        <w:rPr>
          <w:sz w:val="20"/>
          <w:szCs w:val="20"/>
          <w:color w:val="auto"/>
        </w:rPr>
      </w:pPr>
      <w:r>
        <w:rPr>
          <w:rFonts w:ascii="Times New Roman" w:cs="Times New Roman" w:eastAsia="Times New Roman" w:hAnsi="Times New Roman"/>
          <w:sz w:val="18"/>
          <w:szCs w:val="18"/>
          <w:color w:val="auto"/>
        </w:rPr>
        <w:t>Affimed N.V. is a Dutch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has its corporate seat in Amsterdam, the Netherlands, registered with the trade register of the Chamber of Commerce (handelsregister van de Kamer van Koophandel) under number 60673389.</w:t>
      </w:r>
    </w:p>
    <w:p>
      <w:pPr>
        <w:spacing w:after="0" w:line="160"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The condensed consolidated interim financial statements are comprised of Affimed N.V. and its controlled (and wholly owned) subsidiaries Affimed GmbH, Heidelberg, Germany and Affimed Inc., Delaware, USA (collectively “Affimed”, the “Company” or the “Group”). Previously the Group also included AbCheck s.r.o., Plzen, Czech Republic, however this wholly owned subsidiary was sold as of December 28, 2023.</w:t>
      </w:r>
    </w:p>
    <w:p>
      <w:pPr>
        <w:spacing w:after="0" w:line="176" w:lineRule="exact"/>
        <w:rPr>
          <w:sz w:val="20"/>
          <w:szCs w:val="20"/>
          <w:color w:val="auto"/>
        </w:rPr>
      </w:pPr>
    </w:p>
    <w:p>
      <w:pPr>
        <w:jc w:val="both"/>
        <w:ind w:left="4" w:right="140"/>
        <w:spacing w:after="0" w:line="261" w:lineRule="auto"/>
        <w:rPr>
          <w:sz w:val="20"/>
          <w:szCs w:val="20"/>
          <w:color w:val="auto"/>
        </w:rPr>
      </w:pPr>
      <w:r>
        <w:rPr>
          <w:rFonts w:ascii="Times New Roman" w:cs="Times New Roman" w:eastAsia="Times New Roman" w:hAnsi="Times New Roman"/>
          <w:sz w:val="18"/>
          <w:szCs w:val="18"/>
          <w:color w:val="auto"/>
        </w:rPr>
        <w:t>Affimed is a clinical-stage biopharmaceutical company focused on discovering and developing highly targeted cancer immunotherapies. The Group’s product candidates are developed in the field of immuno-oncology, which represents an innovative approach to cancer treatment that seeks to harness the body’s own immune defenses to fight tumor cells. Affimed has its own development programs and strategic collaborations. The Group previously performed research services for third parties under service contracts at its former subsidiary, AbCheck.</w:t>
      </w:r>
    </w:p>
    <w:p>
      <w:pPr>
        <w:spacing w:after="0" w:line="180"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In January 2024, Affimed announced a strategic restructuring which led to a reduction of its headcount by approximately 50% via the dissolution of its research and preclinical development departments. During the nine months ended September 30, 2024, the Group incurred €1.6 million as termination expenses, with €1.5 million included in research and development expenses and €0.1 million included in general administrative expenses.</w:t>
      </w:r>
    </w:p>
    <w:p>
      <w:pPr>
        <w:spacing w:after="0" w:line="320" w:lineRule="exact"/>
        <w:rPr>
          <w:sz w:val="20"/>
          <w:szCs w:val="20"/>
          <w:color w:val="auto"/>
        </w:rPr>
      </w:pPr>
    </w:p>
    <w:p>
      <w:pPr>
        <w:ind w:left="4" w:right="5560" w:hanging="4"/>
        <w:spacing w:after="0" w:line="377" w:lineRule="auto"/>
        <w:tabs>
          <w:tab w:leader="none" w:pos="43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Group’s accounting policies Statement of compliance</w:t>
      </w:r>
    </w:p>
    <w:p>
      <w:pPr>
        <w:spacing w:after="0" w:line="2"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(referred to as the “interim financial statements”) as of September 30, 2024 and December 31, 2023 and for the three and nine months ended September 30, 2024 and 2023 have been prepared in accordance with IAS 34 Interim Financial Reporting. The interim financial statements do not include all the information and disclosures required in the consolidated annual financial statements and should be read in conjunction with Affimed N.V.’s annual consolidated financial statements as of December 31, 2023.</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interim financial statements were authorized for issuance by the Company’s Management Board on November 14, 2024.</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have been prepared on the basis that the Group will continue as a going concern, which contemplates the realization of assets and the satisfaction of liabilities and commitments in the normal course of business. As a clinical-stage biopharmaceutical company, the Group has incurred operating losses since inception. As of September 30, 2024, the Group had an accumulated deficit of €585.9 million and total net equity of €17.2 million.</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66" w:right="559" w:bottom="1440" w:gutter="0" w:footer="0" w:header="0"/>
        </w:sectPr>
      </w:pPr>
    </w:p>
    <w:bookmarkStart w:id="9" w:name="page10"/>
    <w:bookmarkEnd w:id="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Group expects it will incur operating losses for the foreseeable future due to, among other things, costs related to continued clinical programs and its administrative organization. Historically, Affimed has successfully financed its operations through collaborations, licensing, venture loans and equity issuances. Based on current operating and budget assumptions, management anticipates that the Group’s cash and cash equivalents and investments, together with anticipated proceeds from the ATM program and the sale of AbCheck, will finance the Group into Q4 2025. In addition, management is pursuing various financing alternatives to meet the Group’s future cash requirements, including the issuance of equity to existing or new shareholders, payments from arrangements with strategic partners and other sources. Based on such operating and budget assumptions, management has concluded that the Group is able to continue as a going concern.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advancing our product candidates through clinical development. Developing pharmaceutical products, including conducting preclinical studies and clinical studies, is expensive and highly regulated. In order to obtain necessary regulatory approval, we are required to conduct clinical studies for each of our product candidates and each of their indications. The Group’s clinical programs with acimtamig, AFM24 and AFM28 are still in the development stage. Any further development until market approval and successful financing is dependent on meaningful clinical trial results, among other factors. Achieving such results implies uncertainty, including relating to estimated costs for completing ongoing clinical programs, the timing for bringing such programs to market or for substantially partnering or out-licensing arrangements, among others. It is unknown when, if ever, material cash inflows may commence.</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Based on the quality of the Group’s clinical data, management believes that it will be able to obtain financing for the implementation of the Group’s business strategy. If the Company is not able to raise sufficient capital when needed, Affimed could be forced to delay, reduce or eliminate the Company’s product development programs and the ability to continue as a going concern would be uncertain. Based on management’s going concern assessment, the interim financial statements do not include any adjustments that may result from the outcome of these uncertainties.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Loss per common share is calculated by dividing the loss for the period by the weighted average number of common shares outstanding during the period.</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March 8, 2024, the Company effected a 1-for-10 reverse stock split of its outstanding common shares. According to IAS 33.64, the Group has adjusted the weighted average number of ordinary shares and the loss per share (diluted/undiluted) retroactively for the for the three and nine months ended September 30, 2023. In addition, all share and per share information (including such information related to share-based payments) have been retroactively adjusted (see note 11).</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2024, the Group has 2,842,659 options and warrants outstanding in connection with share-based payment programs (see note 11) and a loan agreement, which could potentially have a dilutive effect but were excluded from the diluted weighted average number of ordinary shares calculation because their effect would have been anti-dilutive due to the net loss generated by the Group.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12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preparation of the interim financial statements in conformity with IFRS requires management to make judgments, estimates and assumptions that affect the application of accounting policies and the reported amounts of assets, liabilities, income and expenses.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right="1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preparing these interim financial statements, the critical judgments made by management in applying the Group’s accounting policies were the same as those that applied to the audited consolidated financial statements as of and for the year ended December 31, 2023 except for the following issue:</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2024, the lease term for the property leased in Mannheim was reassessed (refer details provided in note 13). The lease term was reduced from 10 years to 5 years. The discount rate was adjusted to align with the revised lease term from 9.56% to 8.06%. The financial effect of this reassessment is an overall decrease in the consolidated depreciation and interest expense as shown below:</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5400" w:type="dxa"/>
            <w:vAlign w:val="bottom"/>
            <w:gridSpan w:val="3"/>
          </w:tcPr>
          <w:p>
            <w:pPr>
              <w:jc w:val="center"/>
              <w:ind w:left="3592"/>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Impact of the estimation changes</w:t>
            </w:r>
          </w:p>
        </w:tc>
        <w:tc>
          <w:tcPr>
            <w:tcW w:w="41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0" w:type="dxa"/>
            <w:vAlign w:val="bottom"/>
          </w:tcPr>
          <w:p>
            <w:pPr>
              <w:spacing w:after="0"/>
              <w:rPr>
                <w:sz w:val="1"/>
                <w:szCs w:val="1"/>
                <w:color w:val="auto"/>
              </w:rPr>
            </w:pPr>
          </w:p>
        </w:tc>
      </w:tr>
      <w:tr>
        <w:trPr>
          <w:trHeight w:val="180"/>
        </w:trPr>
        <w:tc>
          <w:tcPr>
            <w:tcW w:w="2040" w:type="dxa"/>
            <w:vAlign w:val="bottom"/>
            <w:tcBorders>
              <w:bottom w:val="single" w:sz="8" w:color="auto"/>
            </w:tcBorders>
            <w:vMerge w:val="continue"/>
          </w:tcPr>
          <w:p>
            <w:pPr>
              <w:spacing w:after="0"/>
              <w:rPr>
                <w:sz w:val="15"/>
                <w:szCs w:val="15"/>
                <w:color w:val="auto"/>
              </w:rPr>
            </w:pPr>
          </w:p>
        </w:tc>
        <w:tc>
          <w:tcPr>
            <w:tcW w:w="4140" w:type="dxa"/>
            <w:vAlign w:val="bottom"/>
          </w:tcPr>
          <w:p>
            <w:pPr>
              <w:spacing w:after="0"/>
              <w:rPr>
                <w:sz w:val="15"/>
                <w:szCs w:val="15"/>
                <w:color w:val="auto"/>
              </w:rPr>
            </w:pPr>
          </w:p>
        </w:tc>
        <w:tc>
          <w:tcPr>
            <w:tcW w:w="12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previous</w:t>
            </w: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4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w:t>
            </w: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8,039</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expense -</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3,483</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and presentation currency</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are presented in euro. The functional currency of the Group’s subsidiaries is also the euro. All financial information presented in euro has been rounded to the nearest thousand (abbreviated €) or million (abbreviated €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applied by the Group in these interim financial statements are the same as those applied by the Group in its audited consolidated financial statements as of and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standards and amendments to standards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number of new accounting standards and amendments to accounting standards are effective for annual periods beginning on January 1, 2024 but none of the applied standards had a material effect on these interim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forthcoming amendments to standards have not been applied in preparing these interim financial statements.</w:t>
      </w:r>
    </w:p>
    <w:p>
      <w:pPr>
        <w:spacing w:after="0" w:line="24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Standard/interpretation</w:t>
            </w:r>
          </w:p>
        </w:tc>
        <w:tc>
          <w:tcPr>
            <w:tcW w:w="1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0"/>
                <w:szCs w:val="10"/>
                <w:b w:val="1"/>
                <w:bCs w:val="1"/>
                <w:color w:val="auto"/>
              </w:rPr>
              <w:t>1</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21 The Effects of Changes in Foreign Exchange Rates: Lack</w:t>
            </w:r>
          </w:p>
        </w:tc>
        <w:tc>
          <w:tcPr>
            <w:tcW w:w="130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of Exchangeability</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January 1, 2025</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9 and IFRS 7 Classification and Measurement of Financial</w:t>
            </w:r>
          </w:p>
        </w:tc>
        <w:tc>
          <w:tcPr>
            <w:tcW w:w="130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January 1, 2026</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IFRS 18 Presentation and Disclosure in Financial Statements</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January 1, 2027</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Annual Improvements Volume 11</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January 1, 2026</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IFRS 18 will have an effect on the presentation of the Group`s financial statements with the following key impacts:</w:t>
      </w:r>
    </w:p>
    <w:p>
      <w:pPr>
        <w:spacing w:after="0" w:line="131" w:lineRule="exact"/>
        <w:rPr>
          <w:sz w:val="20"/>
          <w:szCs w:val="20"/>
          <w:color w:val="auto"/>
        </w:rPr>
      </w:pPr>
    </w:p>
    <w:p>
      <w:pPr>
        <w:ind w:left="964" w:right="6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will be classified into five categories including the new categories operation, investing and financing, therefore new subtotals will be introduced;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of aggregation and disaggregation will lead to a different grouping of information and/or additional disclosures; and</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options in the statements of cash flows will be eliminated leading to a reclassification of cash flows (e.g. interest received and interest paid).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other amended standards are not expected to have a significant effect on the interim financial statements of the Group.</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recognized in the interim financial statements are classified in accordance with the following fair value hierarchy, based on the lowest level input parameter that is significant on the whole for fair value measurement:</w:t>
      </w:r>
    </w:p>
    <w:p>
      <w:pPr>
        <w:spacing w:after="0" w:line="189"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Prices for identical assets or liabilities quoted in active markets (non-adjusted);</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Measurement procedures, in which the lowest level input parameter significant on the whole for fair value measurement is directly or indirectly observable for on the market; and</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Measurement procedures, in which the lowest level input parameter significant on the whole for fair value measurement is not directly or indirectly observable for on the market.</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carrying amount of all trade and other receivables, other assets and prepaid expenses, cash and cash equivalents, trade and other payables and loans is a reasonable approximation of the fair value and, therefore, information about the fair values of those financial instruments has not been disclosed. The Group recognizes transfers between levels of the fair value hierarchy as the date at which the change has occurred. There were no transfers between levels for the periods presented.</w:t>
      </w:r>
    </w:p>
    <w:p>
      <w:pPr>
        <w:spacing w:after="0" w:line="324"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Collaboration with Genentech Inc.</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In August 2018, Affimed entered into a strategic collaboration agreement with Genentech Inc. (Genentech), headquartered in South San Francisco, USA. Under the terms of the agreement, Affimed provided services related to the development of novel NK cell engager-based immunotherapeutics to treat multiple cancers. The Genentech agreement became effective at the beginning of October 2018. Under the terms of the agreement, Affimed received $96.0 million (€83.2 million) in initial upfront and committed funding on October 31, 2018. As of the end of 2022, Affimed had completed work on and/or handed over all product candidates for further investigation by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64" w:right="4100" w:hanging="5464"/>
        <w:spacing w:after="0" w:line="334" w:lineRule="auto"/>
        <w:tabs>
          <w:tab w:leader="none" w:pos="433"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Shall apply for periods beginning on or after the date shown in the effective date column. 8</w:t>
      </w:r>
    </w:p>
    <w:p>
      <w:pPr>
        <w:sectPr>
          <w:pgSz w:w="11900" w:h="16838" w:orient="portrait"/>
          <w:cols w:equalWidth="0" w:num="1">
            <w:col w:w="10964"/>
          </w:cols>
          <w:pgMar w:left="436" w:top="270"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third quarter of 2024, Genentech terminated the research collaboration and license agreement.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recognized €0.2 million and €0.5 million as revenue during the three and nine months ended September 30, 2024 and 2023, respectively. The revenue recognized relates to a platform license. As of September 30, 2024, the Group held contract liabilities of €0.6 million (December 31, 2023: €1.1 million), which will be recognized as revenue in subsequent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with Roivant Sciences Ltd.</w:t>
      </w:r>
    </w:p>
    <w:p>
      <w:pPr>
        <w:spacing w:after="0" w:line="12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On November 9, 2020, Affimed and Affivant Sciences GmbH (formerly Pharmavant 6 GmbH), a subsidiary of Roivant Sciences Ltd. (Roivant), announced a strategic collaboration agreement which granted Roivant a license to the preclinical molecule AFM32. Under the terms of the agreement, Affimed received $60 million in upfront consideration, comprised of $40 million in cash and pre-funded research and development funding, and</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 million of common shares in Roivant. We entered into an agreement with Roivant providing for the reversion to Affimed of all clinical development and commercialization rights for AFM32, effective April 29, 2024.</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Group recognized €0 million as revenue during the three and nine months ended September 30, 2024 (2023: €1.6 million and €6.9 million respectively). As of December 31, 2023, Affimed had completed all work on the product candidate and by March 31, 2024 all remaining funds not utilised for the research project had been refunded. As of December 31, 2023, the liability of €1.4 million with regard to the refund was included under trade and other payables (Contract liabilities as at December 31, 2023: €0).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619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amount of €0.2 million and €0.5 million included in contract liabilities at the beginning of the period has been recognized as revenue during the three and nine months ended September 30, 2024.</w:t>
      </w:r>
    </w:p>
    <w:p>
      <w:pPr>
        <w:spacing w:after="0" w:line="162"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The remaining obligation as of September 30, 2024 is approximately €0.6 million and is expected to be recognized as revenue over the next 12 months. 9</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Disaggregation of revenue</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466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466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6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Geographic information</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1,957</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464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7,857</w:t>
            </w:r>
          </w:p>
        </w:tc>
      </w:tr>
      <w:tr>
        <w:trPr>
          <w:trHeight w:val="216"/>
        </w:trPr>
        <w:tc>
          <w:tcPr>
            <w:tcW w:w="4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155</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1,962</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7,862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Major service lines:</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155</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1,713</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249</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4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155</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1,962</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7,862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 on revenue recognition:</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155</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1,962</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464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7,862</w:t>
            </w:r>
          </w:p>
        </w:tc>
      </w:tr>
      <w:tr>
        <w:trPr>
          <w:trHeight w:val="216"/>
        </w:trPr>
        <w:tc>
          <w:tcPr>
            <w:tcW w:w="4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155</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1,962</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7,862</w:t>
            </w:r>
          </w:p>
        </w:tc>
      </w:tr>
    </w:tbl>
    <w:p>
      <w:pPr>
        <w:spacing w:after="0" w:line="34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loss</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January 2024, Affimed announced a strategic restructuring which led to a reduction of its headcount by approximately 50% via the dissolution of its research and preclinical development departments. The Group incurred €1.6 million as termination expenses, with €1.5 million included in research and development expenses and €0.1 million included in general administrative expenses, to be offset by cost savings in 2024 achieved by a reduction in payroll, laboratory activities and related costs. Further, this restructuring resulted in the selling of laboratory equipment which led to an impairment of €1.6 million and an impairment of laboratory inventory of €0.5 million in the nine months ended September 30, 2024.</w:t>
      </w:r>
    </w:p>
    <w:p>
      <w:pPr>
        <w:spacing w:after="0" w:line="183"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In April 2023, Affimed had also conducted a reorganization of its operations to focus on the Group’s three clinical stage development programs. As a result, of that reorganization, the Group incurred a one-time expenditure for termination payments of €1.1 million during the nine months ended September 30, 2023.</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Finance income and finance costs</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Bootstrap Loan Agreement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(758)</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353</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Government treasury bonds</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228</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138</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901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income/(costs) - net</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(58)</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524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(855)</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568</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(390)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w:t>
            </w:r>
          </w:p>
        </w:tc>
      </w:tr>
    </w:tbl>
    <w:p>
      <w:pPr>
        <w:spacing w:after="0" w:line="342"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As of September 30, 2024, the Group holds investments in Government treasury bonds of €16.7 million (December 31, 2023: €33.5 million). These bonds generated interest income for the three and nine months ended September 30, 2024 of €0.2 million and €0.9 million, respectively (September 30, 2023: €0.1 million for the three and nine month period) recognized in finance income/(cost) net. These investments are considered short-term as they all mature within a period of six months.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66" w:right="499" w:bottom="1440" w:gutter="0" w:footer="0" w:header="0"/>
        </w:sectPr>
      </w:pPr>
    </w:p>
    <w:bookmarkStart w:id="14" w:name="page15"/>
    <w:bookmarkEnd w:id="14"/>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financial assets</w:t>
      </w:r>
    </w:p>
    <w:p>
      <w:pPr>
        <w:spacing w:after="0" w:line="121" w:lineRule="exact"/>
        <w:rPr>
          <w:sz w:val="20"/>
          <w:szCs w:val="20"/>
          <w:color w:val="auto"/>
        </w:rPr>
      </w:pPr>
    </w:p>
    <w:p>
      <w:pPr>
        <w:ind w:left="4" w:right="640"/>
        <w:spacing w:after="0" w:line="276" w:lineRule="auto"/>
        <w:rPr>
          <w:sz w:val="20"/>
          <w:szCs w:val="20"/>
          <w:color w:val="auto"/>
        </w:rPr>
      </w:pPr>
      <w:r>
        <w:rPr>
          <w:rFonts w:ascii="Times New Roman" w:cs="Times New Roman" w:eastAsia="Times New Roman" w:hAnsi="Times New Roman"/>
          <w:sz w:val="17"/>
          <w:szCs w:val="17"/>
          <w:color w:val="auto"/>
        </w:rPr>
        <w:t>On December 28, 2023, the Group entered into an agreement regarding the sale of its wholly owned subsidiary AbCheck s.r.o. (‘AbCheck sale agreement‘) to Ampersand Biomedicines Inc (‘Ampersand’) for a gross purchase price of €5.8 million ($6.4 million), consisting of €4.9 million</w:t>
      </w:r>
    </w:p>
    <w:p>
      <w:pPr>
        <w:spacing w:after="0" w:line="1" w:lineRule="exact"/>
        <w:rPr>
          <w:sz w:val="20"/>
          <w:szCs w:val="20"/>
          <w:color w:val="auto"/>
        </w:rPr>
      </w:pPr>
    </w:p>
    <w:p>
      <w:pPr>
        <w:ind w:left="4"/>
        <w:spacing w:after="0" w:line="250" w:lineRule="auto"/>
        <w:rPr>
          <w:sz w:val="20"/>
          <w:szCs w:val="20"/>
          <w:color w:val="auto"/>
        </w:rPr>
      </w:pPr>
      <w:r>
        <w:rPr>
          <w:rFonts w:ascii="Times New Roman" w:cs="Times New Roman" w:eastAsia="Times New Roman" w:hAnsi="Times New Roman"/>
          <w:sz w:val="18"/>
          <w:szCs w:val="18"/>
          <w:color w:val="auto"/>
        </w:rPr>
        <w:t>($5.4 million) in cash to be paid in two tranches and €0.9 million ($1.0 million) to be paid by delivery of a variable number of Ampersand shares subject to certain adjustments and a holdback. The first cash tranche of €1.6 million ($1.8 million) was received in December 2023. An additional €0.2 million ($0.2 million) was received in April 2024 after certain accounts were finalized. The settlement of the balance of the purchase price (both cash and shares) is required once Ampersand has completed a financing round but no later than December 31, 2024. As of September 30, 2024, the portion to be settled by way of shares is included under other financial assets and amounts to €0.8 million ($0.9 million) (December 31, 2023: €0.9 million</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($0.9 million)); the balance of the cash portion of €2.9 million (December 31, 2023: €3.1 million) is included under trade and other receivables.</w:t>
      </w:r>
    </w:p>
    <w:p>
      <w:pPr>
        <w:spacing w:after="0" w:line="351"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receivables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Group had no trade receivables as of September 30, 2024 (December 31, 2023: €0).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receivables are all due within the short-term and mainly comprise value-added tax receivables of €0.7 million (December 31, 2023: €0.9 million)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the balance of the consideration of €2.9 million (December 31, 2023: €3.1 million) for the sale of AbCheck to Ampersand, refer note 7.</w:t>
      </w:r>
    </w:p>
    <w:p>
      <w:pPr>
        <w:spacing w:after="0" w:line="35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 and prepaid expenses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other assets and prepaid expenses as of September 30, 2024 of €2.9 million (December 31, 2023: €5.5 million) are short-term in nature, do not bear</w:t>
      </w:r>
    </w:p>
    <w:p>
      <w:pPr>
        <w:spacing w:after="0" w:line="2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interest and are not impaired. The other assets and prepaid expenses mainly comprise a prepayment of €1.6 million (December 31, 2023: €3.4 million) for services to be provided in respect of managing clinical trials, €0.2 million (December 31, 2023: €0.9 million) as a start-up fee for services associated with a clinical trial for the reservation of manufacturing capacity and the directors’ and officers’ liability insurance premium of €0.3 million (December 31, 2023: €0 million).</w:t>
      </w:r>
    </w:p>
    <w:p>
      <w:pPr>
        <w:spacing w:after="0" w:line="333"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share and per share information presented in this note retrospectively reflects the effects of the reverse stock split effective March 8, 2024, which was approved by the Company’s shareholders at the Company’s Annual General Meeting of Shareholders on June 21, 2023.</w:t>
      </w:r>
    </w:p>
    <w:p>
      <w:pPr>
        <w:spacing w:after="0" w:line="162"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At the annual general meeting, held on June 26, 2024, shareholders approved the increase of the authorized share capital to 75,000,000 shares, from 31,195,000 shares.</w:t>
      </w:r>
    </w:p>
    <w:p>
      <w:pPr>
        <w:spacing w:after="0" w:line="162"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As of September 30, 2024, the share capital of €1,639 (December 31, 2023: €1,500) is comprised of 16,392,343 (December 31, 2023: 14,998,804) common shares with a par value of €0.10 per share.</w:t>
      </w:r>
    </w:p>
    <w:p>
      <w:pPr>
        <w:spacing w:after="0" w:line="16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In November 2021, we entered into a $100 million ATM program. As of December 31, 2023, 0.08 million common shares were sold, generating net proceeds of €1.8 million in the aggregate. For the three and nine months ended September 30, 2024, an additional 0.7 million and 1.4 million common shares were sold under the ATM program, generating net proceeds of €3.0 million and €7.2 million in the aggregate.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5" w:name="page16"/>
    <w:bookmarkEnd w:id="15"/>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Share-based payments</w:t>
      </w:r>
    </w:p>
    <w:p>
      <w:pPr>
        <w:spacing w:after="0" w:line="121" w:lineRule="exact"/>
        <w:rPr>
          <w:sz w:val="20"/>
          <w:szCs w:val="20"/>
          <w:color w:val="auto"/>
        </w:rPr>
      </w:pPr>
    </w:p>
    <w:p>
      <w:pPr>
        <w:ind w:left="4" w:right="20"/>
        <w:spacing w:after="0" w:line="312" w:lineRule="auto"/>
        <w:rPr>
          <w:sz w:val="20"/>
          <w:szCs w:val="20"/>
          <w:color w:val="auto"/>
        </w:rPr>
      </w:pPr>
      <w:r>
        <w:rPr>
          <w:rFonts w:ascii="Times New Roman" w:cs="Times New Roman" w:eastAsia="Times New Roman" w:hAnsi="Times New Roman"/>
          <w:sz w:val="17"/>
          <w:szCs w:val="17"/>
          <w:color w:val="auto"/>
        </w:rPr>
        <w:t>In 2014, an equity-settled share-based payment program was established by Affimed N.V. (ESOP 2014). Under this program, the Company granted awards to certain members of the Management Board, certain members of the Company’s Supervisory Board, non-employee consultants and employees.</w:t>
      </w:r>
    </w:p>
    <w:p>
      <w:pPr>
        <w:spacing w:after="0" w:line="140"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The share and per share information presented in this note retrospectively reflects the effects of the reverse stock split which was effective March 8,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Share-based payments with service conditions</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majority of the awards vest in instalments over three years and can be exercised up to 10 years after the grant date. The Group granted 405,500 and 975,750 awards for the three and nine months ended September 30, 2024 to employees, members of the Management Board, members of the Supervisory Board and consultants. Fair value of the awards at grant date for the nine months ended September 30, 2024, amounts to €3.3 million ($3.6 million).</w:t>
      </w:r>
    </w:p>
    <w:p>
      <w:pPr>
        <w:spacing w:after="0" w:line="180"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232,628 and 325,604 ESOP 2014 awards were cancelled or forfeited due to termination of employment during the three and nine months ended September 30, 2024 (September 30, 2023: 454,238 and 822,778).</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September 30, 2024, 2,832,034 ESOP 2014 options were outstanding (December 31, 2023: 2,181,888), and 1,574,774 awards had vested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31, 2023: 1,240,852). The options outstanding as of September 30, 2024, had an exercise price in the range of $3.50 to $134.70, a weighted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average remaining contractual life of 7.6 years (December 31, 2023: 7.3 years) and a weighted average exercise price of $25.0 (December 31,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$35.7).</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Share-based payments with market conditions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2022, the Company issued 282,500 options with market-based performance conditions to members of the Management Board and employees.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September 30, 2024, all of these options had been forfeited.</w:t>
      </w:r>
    </w:p>
    <w:p>
      <w:pPr>
        <w:spacing w:after="0" w:line="207"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Fair value of the awards at grant date in 2022 amounted to €2.9 million ($3.2 million) and the contractual lifetime of the options was two years. Any unvested awards on the date that is two years following the grant date would lapse, accordingly these are now all lapsed.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Share-based payment expense</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compensation expense of €660 and €2,133 was recognized affecting research and development expenses (€0.3 million and €0.9 million) and general and administrative expenses (€0.4 million and €1.3 million). In the three and nine months ended September 30, 2023, compensation expense of €1,848 and €9,238 was recognized affecting research and development expenses (€970 and €4,992) and general and administrative expenses (€879 and €4,247).</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 value measurement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fair value of options with service conditions granted in the nine months ended September 30, 2024 and 2023, respectively, was determined using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Black-Scholes-Merton valuation model. The significant inputs into the valuation model are as follows (weighted average):</w:t>
      </w:r>
    </w:p>
    <w:p>
      <w:pPr>
        <w:spacing w:after="0" w:line="21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grant date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0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bl>
    <w:p>
      <w:pPr>
        <w:spacing w:after="0" w:line="198"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Expected volatility is estimated based on the observed daily share price returns of Affimed measured over a historic period equal to the expected life of the awards.</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risk-free interest rates are based on the yield to maturity of U.S. Treasury strips (as best available indication for risk-free rates), for a term equal to the expected life, as measured as of the grant date.</w:t>
      </w:r>
    </w:p>
    <w:p>
      <w:pPr>
        <w:spacing w:after="0" w:line="306" w:lineRule="exact"/>
        <w:rPr>
          <w:sz w:val="20"/>
          <w:szCs w:val="20"/>
          <w:color w:val="auto"/>
        </w:rPr>
      </w:pPr>
    </w:p>
    <w:p>
      <w:pPr>
        <w:jc w:val="both"/>
        <w:ind w:left="4" w:right="9640" w:hanging="4"/>
        <w:spacing w:after="0" w:line="400" w:lineRule="auto"/>
        <w:tabs>
          <w:tab w:leader="none" w:pos="436"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 Bootstrap Europe</w:t>
      </w:r>
    </w:p>
    <w:p>
      <w:pPr>
        <w:ind w:left="4"/>
        <w:spacing w:after="0" w:line="254" w:lineRule="auto"/>
        <w:rPr>
          <w:sz w:val="20"/>
          <w:szCs w:val="20"/>
          <w:color w:val="auto"/>
        </w:rPr>
      </w:pPr>
      <w:r>
        <w:rPr>
          <w:rFonts w:ascii="Times New Roman" w:cs="Times New Roman" w:eastAsia="Times New Roman" w:hAnsi="Times New Roman"/>
          <w:sz w:val="18"/>
          <w:szCs w:val="18"/>
          <w:color w:val="auto"/>
        </w:rPr>
        <w:t>In January 2021, the Group entered into a loan agreement with Bootstrap Europe (formerly Silicon Valley Bank German Branch (“SVB”)) which provided Affimed with up to €25 million in term loans in three tranches: €10 million available at closing, an additional €7.5 million upon the achievement of certain conditions, including milestones related to Affimed’s pipeline and market capitalization, and a third tranche of €7.5 million upon the achievement of certain additional conditions related to Affimed’s pipeline and liquidity. The first tranche of €10 million was drawn in February 2021 and the second tranche of €7.5 million in December 2021. The third tranche of €7.5 million expired undrawn at the end of 2022. Pursuant to the terms of the agreement, the loan bears interest at the greater of the European Central Bank Base Rate and 0%, plus 5.5%. Affimed was entitled to make interest only payments through December 1, 2022. The loan will mature at the end of November 2025. As of September 30, 2024, the fair value of the liability did not differ significantly from its carrying amount (€8.1 million).</w:t>
      </w:r>
    </w:p>
    <w:p>
      <w:pPr>
        <w:spacing w:after="0" w:line="192"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The loan is secured by a pledge of 100% of the Group’s ownership interest in Affimed GmbH, all intercompany claims owed to Affimed N.V. by its subsidiary, and collateral agreements for all bank accounts, inventory, trade receivables and other receivables of Affimed N.V. and Affimed GmbH recognized in the interim financial statements.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UniCredit Leasing CZ</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 April 2019, the Group (through its previously held subsidiary AbCheck s.r.o.) entered into a loan agreement with UniCredit Leasing CZ for €562. As a result of the sale of AbCheck, the loan was derecognized as of December 28, 2023.</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7" w:name="page18"/>
    <w:bookmarkEnd w:id="17"/>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 liabilities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As part of the original property lease agreement in Mannheim, additional office space has been made available to the Group and occupation was taken on January 1, 2024. This has resulted in an addition to the right-of-use asset of €0.8 million, and a corresponding increase to the lease liabilities.</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lease term for the property leased in Mannheim has been reassessed considering current events following the restructure relating to exploring financing options and discussions held with the landlord and potential sub lessees. As a result, the Group had concluded that it is highly likely that the Group will opt to exercise the early termination option of the lease and therefore terminate the lease after 5 years, reduced from the original 10 years. Together with the reduction in lease term the discount rate used has also been reviewed and reduced from 9.56% to 8.06% for 2024. The lease liability and right-of-use asset has been adjusted to take these changes into account.</w:t>
      </w:r>
    </w:p>
    <w:p>
      <w:pPr>
        <w:spacing w:after="0" w:line="328"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supervisory board directors of Affimed N.V. received compensation in the amounts of €55 and €294 (€119 and €357) for their services on the Supervisory Board in the three and nine months ended September 30, 2024 (2023). Members of the Management Board received compensation in the amounts of €453 and €1,258 (€680 and €2,596) for their services on the Management Board in the three and nine months ended September 30, 2024 (2023).</w:t>
      </w:r>
    </w:p>
    <w:p>
      <w:pPr>
        <w:spacing w:after="0" w:line="18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Company recognized share-based payment expenses of €15 and €99 (€53 and €248) for supervisory directors and €364 and €714 (€1,003 and €3,957) for managing directors in the three and nine months ended September 30, 2024 (2023).</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provides the total amounts of outstanding balances for supervisory board compensation and expense reimbursement: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Outstanding balances</w:t>
            </w:r>
          </w:p>
        </w:tc>
      </w:tr>
      <w:tr>
        <w:trPr>
          <w:trHeight w:val="117"/>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80" w:type="dxa"/>
            <w:vAlign w:val="bottom"/>
            <w:tcBorders>
              <w:top w:val="single" w:sz="8" w:color="auto"/>
            </w:tcBorders>
            <w:gridSpan w:val="2"/>
          </w:tcPr>
          <w:p>
            <w:pPr>
              <w:jc w:val="right"/>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r>
      <w:tr>
        <w:trPr>
          <w:trHeight w:val="173"/>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76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Hecht</w:t>
            </w:r>
          </w:p>
        </w:tc>
        <w:tc>
          <w:tcPr>
            <w:tcW w:w="1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Mathieu Simon*</w:t>
            </w:r>
          </w:p>
        </w:tc>
        <w:tc>
          <w:tcPr>
            <w:tcW w:w="190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Ulrich Grau*</w:t>
            </w:r>
          </w:p>
        </w:tc>
        <w:tc>
          <w:tcPr>
            <w:tcW w:w="19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Bernhard Ehmer</w:t>
            </w:r>
          </w:p>
        </w:tc>
        <w:tc>
          <w:tcPr>
            <w:tcW w:w="35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Annalisa Jenkins</w:t>
            </w:r>
          </w:p>
        </w:tc>
        <w:tc>
          <w:tcPr>
            <w:tcW w:w="35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Uta Kemmerich-Keil*</w:t>
            </w:r>
          </w:p>
        </w:tc>
        <w:tc>
          <w:tcPr>
            <w:tcW w:w="190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Constanze Ulmer-Eilfort</w:t>
            </w:r>
          </w:p>
        </w:tc>
        <w:tc>
          <w:tcPr>
            <w:tcW w:w="35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45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 longer Supervisory Board members, effective June 26, 2024</w:t>
            </w: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00" w:type="dxa"/>
            <w:vAlign w:val="bottom"/>
          </w:tcPr>
          <w:p>
            <w:pPr>
              <w:jc w:val="right"/>
              <w:ind w:right="1434"/>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4"/>
          </w:cols>
          <w:pgMar w:left="436" w:top="266" w:right="6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AFFIMED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is designed to provide you with a narrative explanation of our financial condition and results of operations. We recommend that you read this in conjunction with our unaudited condensed consolidated interim financial statements for the three and nine month periods ended September 30, 2024 and 2023 (the “interim financial statements”) included as Exhibit 99.1 to the Report on Form 6-K in which this discussion is included. We also recommend that you read “Item 4. Information on the Company” and our audited consolidated financial statements for fiscal year 2023, and the notes thereto, which appear in our Annual Report on Form 20-F for the year ended December 31, 2023 (the “Annual Report”) filed with the U.S. Securities and Exchange Commission (the “SEC”).</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to “Affimed” or the “company,” “we,” “our,” “ours,” “us” or similar terms refer to Affimed N.V. and its subsidiaries.</w:t>
      </w:r>
    </w:p>
    <w:p>
      <w:pPr>
        <w:spacing w:after="0" w:line="16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We prepare and report our unaudited condensed consolidated interim financial statements and audited consolidated financial statements in accordance with International Financial Reporting Standards (“IFRS”) as issued by the International Accounting Standards Board (the “IASB”). None of our unaudited condensed consolidated interim financial statements or audited consolidated financial statements are prepared in accordance with generally accepted accounting principles in the United States. We maintain our books and records in Euros.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Euros.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are a clinical-stage immuno-oncology company focused on developing highly targeted cancer immunotherapies. Our product candidates are being developed in the field of immune-oncology, which represents an innovative approach to cancer treatment that seeks to harness the body’s own immune defenses to fight tumor cells. The most potent cells of the human defense arsenal are types of white blood cells called innate immune cells (natural killer (“NK”) cells and macrophages) and T cells. Leveraging our fit-for-purpose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(Redirected Optimized Cell Killing) platform, we have the potential to develop proprietary, next-generation bispecific antibodies, so-called innate cell engagers, which are designed to direct and establish a bridge between innate immune cells and cancer cells. Our innate cell engagers have the ability to bring innate immune cells into proximity and trigger a signal cascade that leads to the destruction of cancer cells. Due to their novel tetravalent architecture (which provides for four binding domains), our innate cell engagers bind to their targets with high affinity and have half-lives that allow regular intravenous administration, with different dosing schemes being explored to allow for improved exposure in heavily pretreated patient populations. We believe, based on their mechanism of action and the preclinical and clinical data we have generated to date, that our product candidates, alone or in combination, may ultimately improve response rates, clinical outcomes and survival in cancer patients and could eventually become a cornerstone of modern targeted oncology care. Building on our leadership in the innate immune cell space, we also have the ability to develop novel tetravalent, bispecific antibody formats with the potential to tailor immune-engaging therapy to different indications and settings.</w:t>
      </w:r>
    </w:p>
    <w:p>
      <w:pPr>
        <w:spacing w:after="0" w:line="195"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our public offerings of our common shares, private placements of equity securities, the incurrence of loans including convertible loans and through government grants and payments for collaborative research and development services. Through September 30, 2024, we have raised an aggregate of approximately €578 million (gross proceeds) through the issuance of equity and incurrence of loans. To date, we have not generated any revenues from product sales or royalties. Based on our current plans, we do not expect to generate product or royalty revenues unless and until we or any collaboration partner obtain marketing approval for, and commercialize, any of our product candidates.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generated losses since we began our drug development operations in 2000. For the nine months ended September 30, 2024, we incurred a net loss of €49.8 million. As of September 30, 2024, we had an accumulated deficit of €585.9 million.</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December 2023 we reached a definitive agreement to sell our former subsidiary AbCheck s.r.o. (“AbCheck”) to Ampersand Biomedicines. No revenues or expenses of AbCheck are therefore included in the three and nine month periods ended September 30, 2024, whereas in the three and nine month periods ended September 30, 2023, revenues and expenses of AbCheck are included.</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8, 2024, we announced a restructuring initiative aimed at transforming us into a focused clinical organization, positioned to successfully advance our programs to key value inflection points. As part of the restructuring, we reduced our workforce by dissolving our research and preclinical development departments.. All restructuring measures have been completed. Based on our operating and budget assumptions, our cash runway is into Q4 2025.</w:t>
      </w:r>
    </w:p>
    <w:p>
      <w:pPr>
        <w:sectPr>
          <w:pgSz w:w="11900" w:h="16838" w:orient="portrait"/>
          <w:cols w:equalWidth="0" w:num="1">
            <w:col w:w="11020"/>
          </w:cols>
          <w:pgMar w:left="440" w:top="117" w:right="439" w:bottom="1440" w:gutter="0" w:footer="0" w:header="0"/>
        </w:sectPr>
      </w:pPr>
    </w:p>
    <w:bookmarkStart w:id="19" w:name="page20"/>
    <w:bookmarkEnd w:id="1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expect to continue incurring losses as we continue clinical development programs, apply for marketing approval for our product candidates and, subject to obtaining regulatory approval for our product candidates, build a marketing and sales team to commercialize our product candidates. Our profitability depends on the successful development, approval and commercialization of our product candidates and our ability to achieve a level of revenues adequate to support our cost structure. We may never achieve profitability and unless and until we do, we will continue to need to raise additional cash. We intend to fund future operations through additional equity and debt financing and we may seek additional capital through arrangements with strategic partners or from other sources. See Note 2, Basis of preparation and changes to Group’s accounting policies, Going concern, in the notes to the interim financial statements.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one U.S. subsidiary, Affimed Inc., with senior employees in investor relations, business development, corporate strategy, communication and medical/clinical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January 2024, we initiated a strategic restructuring of our operations to focus on our three clinical stage development programs. As a result of the restructuring, we reduced our full-time equivalent headcount by approximately 50%. We incurred a one-time cash expenditure for termination payments of approximately €1.6 million. Further, the financial impact from the selling of laboratory equipment resulted in an impairment of €1.6 million in the six months ended June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we announced a 1-for-10 reverse stock split of our outstanding common shares, effective after market close on March 8, 2024.</w:t>
      </w:r>
    </w:p>
    <w:p>
      <w:pPr>
        <w:spacing w:after="0" w:line="22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In May 2024, the U.S. Food and Drug Administration granted a Fast Track designation to the combination of our innate cell engager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AFM24 with atezolizumab for the treatment of patients with advanced and/or metastatic non-small cell lung cancer (“NSCLC”) epidermal growth factor receptor (“EGFR”)-wildtype (“wt”) after progression on PD-(L)1 targeted therapy and platinum-based chemotherapy. Fast Track is a process designed to facilitate the development and expedite the review of new drugs that are intended to treat or prevent serious conditions and have the potential to address an unmet medical need.</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1, 2024, we announced a AFM24-102 phase 2 study update from the NSCLC EGFRwt cohort. As of the updated data cutoff on May 13, 2024 for the 17 EGFRwt patients previously reported on, 15 patients were response-evaluable. Four confirmed objective responses were seen: 1 complete response (“CR”) and 3 partial responses (“PR”). In addition, 8 patients achieved stable disease (“SD”), resulting in a disease control rate of 71%. Importantly, all responding patients had a documented progression on their previous PD targeting therapy. Median progression-free survival was 5.9 months with median follow-up of 7.4 months. These data are remarkable as little progress has been made in the therapy for NSCLC patients who fail platinum-based therapy as well as PD1. Standard of care is still single agent Docetaxel which produces a response rate of approximately 10% and a PFS of 4.0 – 4.5 months.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26, 2024, we held our annual general meeting, at which, among other things, shareholders authorized our management board to issue, and/or grant rights to subscribe for, up to an additional 15,227,463 shares in the share capital of the Company until December 26, 2025, that is, up to a maximum of 30,454,926 shares, of which 15,227,463 shares were issued and outstanding as of the date of the meeting, and to exclude pre-emptive rights accruing to shareholders in respect of an issuance of such shares, or granting of such rights, until December 26, 2025.</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September 3, 2024, we announced that Dr. Shawn M. Leland, PharmD, RPh was appointed as Chief Executive Officer (CEO). Dr. Andreas Harstrick, who had been serving as acting CEO since January 2024, remained in his position as Chief Medical Officer.</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September 5, 2024, we announced a AFM24-102 phase 2 study update from the EGFR mutant (“EGFRmut”) cohort. 24 heavily pretreated EGFRmut NSCLC patients are in the trial and, of 17 patients that are response evaluable per protocol, 1 CR, 3 PR and 8 SD were observed. All responses were confirmed by follow-up scan. Median follow-up is more than 7 months, and 8 out of the 17 patients continue on treatment. All 4 responders remained on treatment for at least 7 months. The EGFRwt NSCLC cohort for patients who failed chemotherapy and PD-1/PD-L1 has continued enrollment with 40 patients on trial. ORR and safety data from the EGFRwt cohort are expected in Q4 2024. Overall response and PFS data from EGFRmut and PFS data from the EGFRwt cohorts are expected to be presented at a major scientific conference in H1 2025.</w:t>
      </w:r>
    </w:p>
    <w:p>
      <w:pPr>
        <w:spacing w:after="0" w:line="187"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On September 5, 2024, we announced a data update from the LuminICE-203 study (acimtamig/AlloNK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co-administered combination therapy in relapsed/refractory (“R/R”) Hodgkin lymphoma (“HL”). The recruitment in cohorts 1 and 2 is completed and for the 12 treated refractory HL patients, an objective response rate of 83.3% with 6 CRs and 4 PRs were observed by independent read. Treatment-related adverse events were consistent with previous experience, and side effects related to acimtamig and 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were well manageable with standard of care treatment. Recruitment in cohorts 3 and 4 has meanwhile been completed and updated study results will be reported at the 66th ASH Annual Meeting and Exposition in December 2024.</w:t>
      </w:r>
    </w:p>
    <w:p>
      <w:pPr>
        <w:sectPr>
          <w:pgSz w:w="11900" w:h="16838" w:orient="portrait"/>
          <w:cols w:equalWidth="0" w:num="1">
            <w:col w:w="11020"/>
          </w:cols>
          <w:pgMar w:left="440" w:top="270" w:right="439" w:bottom="1440" w:gutter="0" w:footer="0" w:header="0"/>
        </w:sectPr>
      </w:pPr>
    </w:p>
    <w:bookmarkStart w:id="20" w:name="page21"/>
    <w:bookmarkEnd w:id="2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September 5, 2024, we further announced a data update from the multi-center Phase 1 open-label, dose-escalation study (AFM28-101), of AFM28 monotherapy in CD123-positive R/R AML. Of 6 patients treated at dose level 6 at 300 mg, 1 patient showed a CR, 2 patients showed a CRi (complete remission with incomplete hematologic recovery) and 2 patients achieved SD. As previously announced in June 2024, at dose level 5 at 250 mg, out of 6 patients 1 patient showed a CR, lasting 6 months. The other 5 patients reached a SD as best response. No dose-limiting toxicities were reported in dose levels 5 and 6. We will enroll additional 6 patients in this study at dose level 6. Updated response and safety data will be reported at the 66th ASH Annual Meeting and Exposition in December 2024.</w:t>
      </w:r>
    </w:p>
    <w:p>
      <w:pPr>
        <w:spacing w:after="0" w:line="18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November 5, 2024, we announced the acceptance of three abstracts on two of our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therapies for presentation at the 66th ASH Annual Meeting and Exposition taking place December 7-10, 2024, in San Diego, California. An oral presentation will feature clinical results, including promising efficacy and safety data from the AFM28 phase 1 dose escalation study in R/R AML. A poster with preclinical data will highlight the in vitro efficacy of AFM28 in combination with both patient-derived autologous NK cells and healthy volunteer-derived allogeneic NK cells against leukemic blasts. Updated clinical results from all 4 cohorts of the run-in phase from the LuminICE-203 study evaluating acimtamig in combination with 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(AB-101) for relapsed/ refractory Hodgkin Lymphoma will be shared in a poster session.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21"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We finalized an agreement with Roivant Sciences Ltd. (“Roivant”) providing for the reversion to Affimed of all clinical development and commercialization rights for AFM32, effective April 29,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2024, Genentech terminated the research collaboration and license agreement.</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license agreements from those reported in “Item 4. Information on the Company—B. Business Overview—Collaborations”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will use our existing liquidity primarily to fund research and development expenses for our ongoing clinical programs. Our research and development expenses are highly dependent on the development phases of our projects and therefore fluctuate widely from period to period. Our remaining research and continued development expenses mainly relate to the following key programs:</w:t>
      </w:r>
    </w:p>
    <w:p>
      <w:pPr>
        <w:spacing w:after="0" w:line="79"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acimtamig (previously AFM13). </w:t>
      </w:r>
      <w:r>
        <w:rPr>
          <w:rFonts w:ascii="Times New Roman" w:cs="Times New Roman" w:eastAsia="Times New Roman" w:hAnsi="Times New Roman"/>
          <w:sz w:val="17"/>
          <w:szCs w:val="17"/>
          <w:color w:val="auto"/>
        </w:rPr>
        <w:t>The following is a summary of completed and ongoing research and development activities for acimtamig:</w:t>
      </w:r>
    </w:p>
    <w:p>
      <w:pPr>
        <w:spacing w:after="0" w:line="144" w:lineRule="exact"/>
        <w:rPr>
          <w:rFonts w:ascii="Times New Roman" w:cs="Times New Roman" w:eastAsia="Times New Roman" w:hAnsi="Times New Roman"/>
          <w:sz w:val="17"/>
          <w:szCs w:val="17"/>
          <w:color w:val="auto"/>
        </w:rPr>
      </w:pPr>
    </w:p>
    <w:p>
      <w:pPr>
        <w:ind w:left="1420" w:right="40" w:hanging="439"/>
        <w:spacing w:after="0" w:line="238"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the Food and Drug Administration (“FDA”) issued a written response to our pre-investigational new drug (“IND”) meeting request for the acimtamig/AlloNK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co-administered combination therapy in relapsed/refractory (“R/R”) Hodgkin lymphoma (“HL”) and the exploratory arm evaluating the combination in r/r CD30+ peripheral T cell lymphoma (“PTCL”). Based on the written response, we submitted and received clearance from the FDA for an IND application during the second quarter of 2023. We initiated enrollment into the study in October 2023. The recruitment in cohorts 1 and 2 is completed and for the first 12 treated refractory Hodgkin Lymphoma (HL) patients, an overall response rate (ORR) of 83.3% with 6 complete responses (CRs) and 4 partial responses (PRs) was observed by independent read.</w:t>
      </w:r>
    </w:p>
    <w:p>
      <w:pPr>
        <w:spacing w:after="0" w:line="10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we presented final data from the investigator-initiated trial at the American Society of Hematology (“ASH”)</w:t>
      </w:r>
    </w:p>
    <w:p>
      <w:pPr>
        <w:spacing w:after="0" w:line="27" w:lineRule="exact"/>
        <w:rPr>
          <w:rFonts w:ascii="Times New Roman" w:cs="Times New Roman" w:eastAsia="Times New Roman" w:hAnsi="Times New Roman"/>
          <w:sz w:val="18"/>
          <w:szCs w:val="18"/>
          <w:color w:val="auto"/>
        </w:rPr>
      </w:pPr>
    </w:p>
    <w:p>
      <w:pPr>
        <w:ind w:left="14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2023 Annual Meeting. A total of 42 patients were enrolled in the study with 36 patients treated at the recommended phase 2 dose (“RP2D”). 32 of the 36 patients treated at the RP2D were HL patients. All 32 HL patients were heavily pretreated with multiple lines of chemotherapy, all had previously received checkpoint inhibitors (“CPIs”) and brentuximab vedotin (“BV”), and were refractory to their most recent line of therapy with active progressive disease at the time of enrollment. Across all dose levels, the treatment regimen achieved an objective response rate (“ORR”) of 93% with a CR rate of 67%; among the 32 HL patients treated at the RP2D the treatment regimen achieved an ORR of 97% and a CR rate of 78%. In addition, the treatment regimen demonstrated a good safety and tolerability profile with no cases of cytokine release syndrome (“CRS”), immune effector cell-associated neurotoxicity syndrome (“ICANS”) or graft versus host disease (“GvHD”) of any grade. Mild to moderate infusion related reactions (“IRRs”)</w:t>
      </w:r>
    </w:p>
    <w:p>
      <w:pPr>
        <w:sectPr>
          <w:pgSz w:w="11900" w:h="16838" w:orient="portrait"/>
          <w:cols w:equalWidth="0" w:num="1">
            <w:col w:w="11000"/>
          </w:cols>
          <w:pgMar w:left="440" w:top="270" w:right="459" w:bottom="1440" w:gutter="0" w:footer="0" w:header="0"/>
        </w:sectPr>
      </w:pPr>
    </w:p>
    <w:bookmarkStart w:id="21" w:name="page22"/>
    <w:bookmarkEnd w:id="21"/>
    <w:p>
      <w:pPr>
        <w:ind w:left="44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 seen in 7.7% of the acimtamig infusions. Across all dose levels, median event free survival (“EFS”) was 8.8 months and median overall survival (“OS”) was not reached. For the HL patients treated at the RP2D, median EFS was 9.8 months – with 84% patients alive at 12 months. The median duration of response (“DoR”) was 8.8 months and 72% CR assessed at 6 months for HL patients treated at the RP2D; 30% of patients with complete response remained in CR beyond 12 months.</w:t>
      </w:r>
    </w:p>
    <w:p>
      <w:pPr>
        <w:spacing w:after="0" w:line="85" w:lineRule="exact"/>
        <w:rPr>
          <w:sz w:val="20"/>
          <w:szCs w:val="20"/>
          <w:color w:val="auto"/>
        </w:rPr>
      </w:pPr>
    </w:p>
    <w:p>
      <w:pPr>
        <w:ind w:left="440" w:hanging="439"/>
        <w:spacing w:after="0" w:line="245"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we released topline data from our phase 2 REDIRECT study investigating acimtamig monotherapy in patients with advanced-stage R/R PTCL. Primary efficacy measures include ORR of 32.4% and a CR rate of 10.2%. Key secondary and exploratory outcome measures include safety, durability of response, PFS and OS. The safety profile of acimtamig was well managed and consistent with previously reported data of prior and ongoing clinical studies with acimtamig. Median DoR was 2.3 months, median PFS was 3.5 months and median OS was 13.8 months. Based on the compelling data seen in HL for the combination of acimtamig with cord blood-derived NK cells in the acimtamig (AFM13-104) study, we believe that the combination with AB-AlloNK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a higher probability to deliver increased anti-tumor activity and a more durable clinical benefit to address the unmet need in this patient population as compared to acimtamig monotherapy in PTCL. Accordingly, we do not intend to pursue an accelerated approval for acimtamig monotherapy in PTCL and will focus investment on clinical development in the combination of acimtamig and 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440" w:right="40" w:hanging="439"/>
        <w:spacing w:after="0" w:line="217"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we announced a new strategic partnership with Artiva Biotherapeutics, Inc. (“Artiva”) to jointly develop, manufacture and commercialize the combination of acimtamig and 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Under the terms of the agreement, we and Artiva will pursue the development of the acimtamig/AlloNK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combination treatment in the United States on a co-exclusive basis. We will lead regulatory activities through phase 2 and any confirmatory studies. We will be responsible for funding clinical study costs through phase 2, while Artiva will be responsible for the costs of supplying 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IL-2 for such studies. The companies will share confirmatory study costs on a 50/50 basis. Both companies will retain commercialization and distribution rights and book sales for their respective products. We will be responsible for promotional activities and expenses of the combination therapy. Pursuant to the agreement, revenues from the strategic partnership will be shared, with us receiving 67% of the combination therapy revenue and Artiva receiving 33%.</w:t>
      </w:r>
    </w:p>
    <w:p>
      <w:pPr>
        <w:spacing w:after="0" w:line="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anticipate that our research and development expenses in 2024 for acimtamig will decrease significantly compared to those for 2023, mainly due to lower expenses for manufacturing activities.</w:t>
      </w:r>
    </w:p>
    <w:p>
      <w:pPr>
        <w:spacing w:after="0" w:line="65" w:lineRule="exact"/>
        <w:rPr>
          <w:sz w:val="20"/>
          <w:szCs w:val="20"/>
          <w:color w:val="auto"/>
        </w:rPr>
      </w:pPr>
    </w:p>
    <w:p>
      <w:pPr>
        <w:ind w:left="440" w:right="180" w:hanging="439"/>
        <w:spacing w:after="0" w:line="254"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AFM24. </w:t>
      </w:r>
      <w:r>
        <w:rPr>
          <w:rFonts w:ascii="Times New Roman" w:cs="Times New Roman" w:eastAsia="Times New Roman" w:hAnsi="Times New Roman"/>
          <w:sz w:val="18"/>
          <w:szCs w:val="18"/>
          <w:color w:val="auto"/>
        </w:rPr>
        <w:t>AFM24 is a tetravalent, bispecific epidermal growth factor receptor and CD16A-binding innate cell engager. We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at the American Society of Clinical Oncology Annual Meeting in June 2024 and announced a data update in September 2024 from our ongoing combination study with atezolizumab. In the latest data update in September, we reported that 24 heavily pretreated EGFRmut NSCLC patients are in the trial and, of 17 patients that are response evaluable per protocol, 1 CR, 3 PR and 8 SD were observed. All responses were confirmed by follow-up scan. Median follow-up is more than 7 months, and 8 out of the 17 patients continue on treatment. All 4 responders remained on treatment for at least 7 months. The EGFRwt NSCLC cohort for patients who failed chemotherapy and PD-1/PD-L1 has continued enrollment with 40 patients on trial. We anticipate that our research and development expenses in 2024 for AFM24 will decrease compared to those in 2023, primarily due to the decline in manufacturing activities for clinical trial materials as we focus on clinical development.</w:t>
      </w:r>
    </w:p>
    <w:p>
      <w:pPr>
        <w:spacing w:after="0" w:line="93" w:lineRule="exact"/>
        <w:rPr>
          <w:rFonts w:ascii="Times New Roman" w:cs="Times New Roman" w:eastAsia="Times New Roman" w:hAnsi="Times New Roman"/>
          <w:sz w:val="18"/>
          <w:szCs w:val="18"/>
          <w:color w:val="auto"/>
        </w:rPr>
      </w:pPr>
    </w:p>
    <w:p>
      <w:pPr>
        <w:ind w:left="440" w:right="20" w:hanging="439"/>
        <w:spacing w:after="0" w:line="254"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AFM28. </w:t>
      </w:r>
      <w:r>
        <w:rPr>
          <w:rFonts w:ascii="Times New Roman" w:cs="Times New Roman" w:eastAsia="Times New Roman" w:hAnsi="Times New Roman"/>
          <w:sz w:val="18"/>
          <w:szCs w:val="18"/>
          <w:color w:val="auto"/>
        </w:rPr>
        <w:t>AFM28 is designed to bind to CD123, an established target in myeloid malignancies. We chose CD123 as it is almost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universally expressed on leukemic blasts and leukemic stem cells (“LSCs”) in patients with acute myeloid leukemia (“AML”), both at diagnosis and at relapse, and independently of cytogenetic risk. AFM28 is being developed for the treatment of patients with acute myeloid leukemia. In June 2022, we submitted an IND to the FDA for AFM28. Following feedback from the FDA related to the design of the dose escalation study, we made a strategic decision to voluntarily withdraw the IND and to focus early clinical development of AFM28 in jurisdictions outside of the United States. Clinical trial applications were cleared in Belgium, Denmark, France and Spain and we initiated recruitment into a phase 1 clinical study in the first quarter of 2023. The enrollment of the sixth and final cohort is completed. Of 6 patients treated at dose level 6 at 300 mg, 1 patient showed a CR, 2 patients a CRi and 2 patients achieved SD. We will enroll additional 6 patients in this study at dose level 6.</w:t>
      </w:r>
    </w:p>
    <w:p>
      <w:pPr>
        <w:spacing w:after="0" w:line="93" w:lineRule="exact"/>
        <w:rPr>
          <w:rFonts w:ascii="Times New Roman" w:cs="Times New Roman" w:eastAsia="Times New Roman" w:hAnsi="Times New Roman"/>
          <w:sz w:val="18"/>
          <w:szCs w:val="18"/>
          <w:color w:val="auto"/>
        </w:rPr>
      </w:pPr>
    </w:p>
    <w:p>
      <w:pPr>
        <w:ind w:left="440" w:right="60" w:hanging="439"/>
        <w:spacing w:after="0" w:line="25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projects and infrastructure costs. </w:t>
      </w:r>
      <w:r>
        <w:rPr>
          <w:rFonts w:ascii="Times New Roman" w:cs="Times New Roman" w:eastAsia="Times New Roman" w:hAnsi="Times New Roman"/>
          <w:sz w:val="18"/>
          <w:szCs w:val="18"/>
          <w:color w:val="auto"/>
        </w:rPr>
        <w:t>Our other research and development expenses relate to our Roivant and Artiva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collaborations, and early-stage development/discovery activities, which were active until the end of 2023. We had allocated a material amount of our resources to such discovery activities. The expenses mainly consisted of salaries, manufacturing costs for pre-clinical study material and pre-clinical studies. In addition, we incurred a significant amount of costs associated with our research and development that was non-project specific, including intellectual property- related expenses, depreciation expenses and facility costs. Because these are less dependent on individual ongoing programs, they are not allocated to specific projects. We assume that other projects and infrastructure costs will decrease in 2024 due to the dissolving of early-stage discovery activities.</w:t>
      </w:r>
    </w:p>
    <w:p>
      <w:pPr>
        <w:sectPr>
          <w:pgSz w:w="11900" w:h="16838" w:orient="portrait"/>
          <w:cols w:equalWidth="0" w:num="1">
            <w:col w:w="10020"/>
          </w:cols>
          <w:pgMar w:left="1420" w:top="270"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of Operations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financial information shown below was derived from our interim financial statements for the three months period ended September 30, 2024 and 2023. The discussion below should be read along with these financial statements and is qualified in its entirety by reference to them.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50"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32"/>
        </w:trPr>
        <w:tc>
          <w:tcPr>
            <w:tcW w:w="5920" w:type="dxa"/>
            <w:vAlign w:val="bottom"/>
          </w:tcPr>
          <w:p>
            <w:pPr>
              <w:spacing w:after="0"/>
              <w:rPr>
                <w:sz w:val="11"/>
                <w:szCs w:val="11"/>
                <w:color w:val="auto"/>
              </w:rPr>
            </w:pPr>
          </w:p>
        </w:tc>
        <w:tc>
          <w:tcPr>
            <w:tcW w:w="1680" w:type="dxa"/>
            <w:vAlign w:val="bottom"/>
          </w:tcPr>
          <w:p>
            <w:pPr>
              <w:jc w:val="right"/>
              <w:ind w:right="234"/>
              <w:spacing w:after="0" w:line="13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jc w:val="right"/>
              <w:ind w:right="171"/>
              <w:spacing w:after="0" w:line="13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8"/>
        </w:trPr>
        <w:tc>
          <w:tcPr>
            <w:tcW w:w="5920" w:type="dxa"/>
            <w:vAlign w:val="bottom"/>
          </w:tcPr>
          <w:p>
            <w:pPr>
              <w:spacing w:after="0"/>
              <w:rPr>
                <w:sz w:val="12"/>
                <w:szCs w:val="12"/>
                <w:color w:val="auto"/>
              </w:rPr>
            </w:pPr>
          </w:p>
        </w:tc>
        <w:tc>
          <w:tcPr>
            <w:tcW w:w="2440" w:type="dxa"/>
            <w:vAlign w:val="bottom"/>
            <w:gridSpan w:val="2"/>
          </w:tcPr>
          <w:p>
            <w:pPr>
              <w:jc w:val="right"/>
              <w:ind w:right="371"/>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5920" w:type="dxa"/>
            <w:vAlign w:val="bottom"/>
          </w:tcPr>
          <w:p>
            <w:pPr>
              <w:spacing w:after="0"/>
              <w:rPr>
                <w:sz w:val="15"/>
                <w:szCs w:val="15"/>
                <w:color w:val="auto"/>
              </w:rPr>
            </w:pPr>
          </w:p>
        </w:tc>
        <w:tc>
          <w:tcPr>
            <w:tcW w:w="24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 thousand)</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155</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1,962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 net</w:t>
            </w: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(10,136)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(14,283)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(24,923)</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income/(costs) — net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(855)</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(15,138)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(15,139)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(15,139)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(24,355)</w:t>
            </w:r>
          </w:p>
        </w:tc>
      </w:t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 in € per share (undiluted = diluted)</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(0.94)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decreased to €0.2 million in the three months ended September 30, 2024 from €2.0 million for the three months ended September 30, 2023. Revenue in the three months ended September 30, 2024, relates to the Genentech Inc. (“Genentech”) collaboration with €0.2 million in relation to a platform license, while 2023 predominantly related to the Roivant collaboration, which was €1.6 million. Revenue from the Roivant collaboration in the three months ended September 30, 2023 comprised revenue recognized from collaborative research services performed during the quarter.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8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R&amp;D Expenses by Project</w:t>
            </w:r>
          </w:p>
        </w:tc>
        <w:tc>
          <w:tcPr>
            <w:tcW w:w="6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acimtamig</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2,834</w:t>
            </w: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10,559</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AFM24</w:t>
            </w: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2,781</w:t>
            </w:r>
          </w:p>
        </w:tc>
        <w:tc>
          <w:tcPr>
            <w:tcW w:w="11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3,693</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AFM28</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809</w:t>
            </w: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1,335</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projects and infrastructure costs</w:t>
            </w: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3,408</w:t>
            </w:r>
          </w:p>
        </w:tc>
        <w:tc>
          <w:tcPr>
            <w:tcW w:w="11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4,941</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304</w:t>
            </w: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970</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10,136</w:t>
            </w:r>
          </w:p>
        </w:tc>
        <w:tc>
          <w:tcPr>
            <w:tcW w:w="11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21,498</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23" w:name="page24"/>
    <w:bookmarkEnd w:id="23"/>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and development expenses amounted to €10.1 million in the three months ended September 30, 2024 compared to research and development expenses of €21.5 million in the three months ended September 30, 2023. The decrease in project-related expenses between the projects for the three months ended September 30, 2024 and the corresponding period in 2023 are mainly due to the following:</w:t>
      </w:r>
    </w:p>
    <w:p>
      <w:pPr>
        <w:spacing w:after="0" w:line="79"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acimtamig. </w:t>
      </w:r>
      <w:r>
        <w:rPr>
          <w:rFonts w:ascii="Times New Roman" w:cs="Times New Roman" w:eastAsia="Times New Roman" w:hAnsi="Times New Roman"/>
          <w:sz w:val="18"/>
          <w:szCs w:val="18"/>
          <w:color w:val="auto"/>
        </w:rPr>
        <w:t>In the three months ended September 30, 2024, we incurred lower expenses (73%) than in the three months ended</w:t>
      </w:r>
    </w:p>
    <w:p>
      <w:pPr>
        <w:spacing w:after="0" w:line="2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30, 2023, primarily due to the decrease in manufacturing activities for clinical trial material and a decline in clinical trial costs.</w:t>
      </w:r>
    </w:p>
    <w:p>
      <w:pPr>
        <w:spacing w:after="0" w:line="110" w:lineRule="exact"/>
        <w:rPr>
          <w:rFonts w:ascii="Times New Roman" w:cs="Times New Roman" w:eastAsia="Times New Roman" w:hAnsi="Times New Roman"/>
          <w:sz w:val="18"/>
          <w:szCs w:val="18"/>
          <w:color w:val="auto"/>
        </w:rPr>
      </w:pPr>
    </w:p>
    <w:p>
      <w:pPr>
        <w:ind w:left="960" w:right="80" w:hanging="532"/>
        <w:spacing w:after="0" w:line="28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AFM24. </w:t>
      </w:r>
      <w:r>
        <w:rPr>
          <w:rFonts w:ascii="Times New Roman" w:cs="Times New Roman" w:eastAsia="Times New Roman" w:hAnsi="Times New Roman"/>
          <w:sz w:val="18"/>
          <w:szCs w:val="18"/>
          <w:color w:val="auto"/>
        </w:rPr>
        <w:t>In the three months ended September 30, 2024, we incurred lower expenses (25%) than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the decline in manufacturing activities for clinical trial materials as we focus on clinical development.</w:t>
      </w:r>
    </w:p>
    <w:p>
      <w:pPr>
        <w:spacing w:after="0" w:line="63" w:lineRule="exact"/>
        <w:rPr>
          <w:rFonts w:ascii="Times New Roman" w:cs="Times New Roman" w:eastAsia="Times New Roman" w:hAnsi="Times New Roman"/>
          <w:sz w:val="18"/>
          <w:szCs w:val="18"/>
          <w:color w:val="auto"/>
        </w:rPr>
      </w:pPr>
    </w:p>
    <w:p>
      <w:pPr>
        <w:ind w:left="960" w:right="80" w:hanging="532"/>
        <w:spacing w:after="0" w:line="28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AFM28. </w:t>
      </w:r>
      <w:r>
        <w:rPr>
          <w:rFonts w:ascii="Times New Roman" w:cs="Times New Roman" w:eastAsia="Times New Roman" w:hAnsi="Times New Roman"/>
          <w:sz w:val="18"/>
          <w:szCs w:val="18"/>
          <w:color w:val="auto"/>
        </w:rPr>
        <w:t>In the three months ended September 30, 2024, we incurred lower expenses (39%) than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a decrease in costs for preclinical development activities, as well as manufacturing costs for clinical trial material.</w:t>
      </w:r>
    </w:p>
    <w:p>
      <w:pPr>
        <w:spacing w:after="0" w:line="63"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projects and infrastructure costs. </w:t>
      </w:r>
      <w:r>
        <w:rPr>
          <w:rFonts w:ascii="Times New Roman" w:cs="Times New Roman" w:eastAsia="Times New Roman" w:hAnsi="Times New Roman"/>
          <w:sz w:val="18"/>
          <w:szCs w:val="18"/>
          <w:color w:val="auto"/>
        </w:rPr>
        <w:t>In the three months ended September 30, 2024, expenses were lower (31%) than in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primarily due to a decline in costs incurred with respect to certain of our collaboration projects, such as the Roivant and Genentech collaboration, for which we have completed the work assigned to us under the respective collaboration agreements, set-off by a one-time termination expenditure. Further, the decrease is also attributable to lower costs following the sale of our subsidiary AbCheck and lower costs following the restructuring initiatives.</w:t>
      </w:r>
    </w:p>
    <w:p>
      <w:pPr>
        <w:spacing w:after="0" w:line="88" w:lineRule="exact"/>
        <w:rPr>
          <w:rFonts w:ascii="Times New Roman" w:cs="Times New Roman" w:eastAsia="Times New Roman" w:hAnsi="Times New Roman"/>
          <w:sz w:val="18"/>
          <w:szCs w:val="18"/>
          <w:color w:val="auto"/>
        </w:rPr>
      </w:pPr>
    </w:p>
    <w:p>
      <w:pPr>
        <w:ind w:left="960" w:right="460" w:hanging="532"/>
        <w:spacing w:after="0" w:line="28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Share-based payment expense</w:t>
      </w:r>
      <w:r>
        <w:rPr>
          <w:rFonts w:ascii="Times New Roman" w:cs="Times New Roman" w:eastAsia="Times New Roman" w:hAnsi="Times New Roman"/>
          <w:sz w:val="18"/>
          <w:szCs w:val="18"/>
          <w:color w:val="auto"/>
        </w:rPr>
        <w:t>. In the three months ended September 30, 2024, this expense decreased by 69%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due to a decrease in the number of newly issued share options and a reduction in head 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amounted to €4.3 million in the three months ended September 30, 2024 compared to €5.4 million in the three months ended September 30, 2023. These costs have decreased (20%) as a result of the decline in head count, decline in legal and consulting, insurance expenses and share-based payment expenses impacted by the decline in head count.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income / (costs)-net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Finance costs for the three months ended September 30, 2024 totaled €0.9 million, compared to finance income of €0.6 million for the three months ended September 30, 2023. Finance income/costs in the three months ended September 30, 2024 and 2023 are primarily made up of foreign exchange gains / losses related to cash, cash equivalents and government treasury bonds denominated in U.S. dollars as a result of the change in the value of the U.S. dollar compared to the Euro, interest on our January 8, 2021 loan agreement with Bootstrap Europe (formerly Silicon Valley Bank German Branch (the “Bootstrap Loan”) and interest earned on the treasury bonds.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50"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Nine months</w:t>
      </w:r>
    </w:p>
    <w:p>
      <w:pPr>
        <w:jc w:val="center"/>
        <w:ind w:left="6700"/>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32"/>
        </w:trPr>
        <w:tc>
          <w:tcPr>
            <w:tcW w:w="5920" w:type="dxa"/>
            <w:vAlign w:val="bottom"/>
          </w:tcPr>
          <w:p>
            <w:pPr>
              <w:spacing w:after="0"/>
              <w:rPr>
                <w:sz w:val="11"/>
                <w:szCs w:val="11"/>
                <w:color w:val="auto"/>
              </w:rPr>
            </w:pPr>
          </w:p>
        </w:tc>
        <w:tc>
          <w:tcPr>
            <w:tcW w:w="1680" w:type="dxa"/>
            <w:vAlign w:val="bottom"/>
          </w:tcPr>
          <w:p>
            <w:pPr>
              <w:jc w:val="right"/>
              <w:ind w:right="234"/>
              <w:spacing w:after="0" w:line="13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jc w:val="right"/>
              <w:ind w:right="172"/>
              <w:spacing w:after="0" w:line="13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9"/>
        </w:trPr>
        <w:tc>
          <w:tcPr>
            <w:tcW w:w="5920" w:type="dxa"/>
            <w:vAlign w:val="bottom"/>
          </w:tcPr>
          <w:p>
            <w:pPr>
              <w:spacing w:after="0"/>
              <w:rPr>
                <w:sz w:val="12"/>
                <w:szCs w:val="12"/>
                <w:color w:val="auto"/>
              </w:rPr>
            </w:pPr>
          </w:p>
        </w:tc>
        <w:tc>
          <w:tcPr>
            <w:tcW w:w="2440" w:type="dxa"/>
            <w:vAlign w:val="bottom"/>
            <w:gridSpan w:val="2"/>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5920" w:type="dxa"/>
            <w:vAlign w:val="bottom"/>
          </w:tcPr>
          <w:p>
            <w:pPr>
              <w:spacing w:after="0"/>
              <w:rPr>
                <w:sz w:val="15"/>
                <w:szCs w:val="15"/>
                <w:color w:val="auto"/>
              </w:rPr>
            </w:pPr>
          </w:p>
        </w:tc>
        <w:tc>
          <w:tcPr>
            <w:tcW w:w="244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 € thousand)</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464</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7,862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income/(expenses) — net</w:t>
            </w: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242</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1,121</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(37,254)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(49,371)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(85,826)</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income/(costs) — net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(49,761)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(85,730)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(49,765)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(85,733)</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(49,765)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(85,733)</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 in € per share (undiluted = diluted)</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r>
    </w:tbl>
    <w:p>
      <w:pPr>
        <w:sectPr>
          <w:pgSz w:w="11900" w:h="16838" w:orient="portrait"/>
          <w:cols w:equalWidth="0" w:num="1">
            <w:col w:w="10980"/>
          </w:cols>
          <w:pgMar w:left="440" w:top="27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decreased from €7.9 million in the nine months ended September 30, 2023 to €0.5 million for the nine months ended September 30, 2024. Revenue in the nine months ended September 30, 2024, relates to the Genentech Inc. (“Genentech”) collaboration with €0.5 million in relation to a platform license, while 2023 predominantly related to the Roivant collaboration, which was €6.9 million. Revenue from the Roivant collaboration in the nine months ended September 30, 2023 comprised revenue recognized from collaborative research services performed during the quarter.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8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R&amp;D Expenses by Project</w:t>
            </w:r>
          </w:p>
        </w:tc>
        <w:tc>
          <w:tcPr>
            <w:tcW w:w="6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acimtamig</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9,001</w:t>
            </w: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27,403</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AFM24</w:t>
            </w: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9,043</w:t>
            </w:r>
          </w:p>
        </w:tc>
        <w:tc>
          <w:tcPr>
            <w:tcW w:w="11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15,761</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AFM28</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3,513</w:t>
            </w: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4,540</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projects and infrastructure costs</w:t>
            </w: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14,841</w:t>
            </w:r>
          </w:p>
        </w:tc>
        <w:tc>
          <w:tcPr>
            <w:tcW w:w="11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23,606</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856</w:t>
            </w: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4,992</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37,254</w:t>
            </w:r>
          </w:p>
        </w:tc>
        <w:tc>
          <w:tcPr>
            <w:tcW w:w="11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76,302</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from €76.3 million in the nine months ended September 30, 2023 to €37.3 million for the nine months ended September 30, 2024. The decrease in project-related expenses between the projects for the nine months ended September 30, 2024 and the corresponding period in 2023 are mainly due to the following:</w:t>
      </w:r>
    </w:p>
    <w:p>
      <w:pPr>
        <w:spacing w:after="0" w:line="79" w:lineRule="exact"/>
        <w:rPr>
          <w:sz w:val="20"/>
          <w:szCs w:val="20"/>
          <w:color w:val="auto"/>
        </w:rPr>
      </w:pPr>
    </w:p>
    <w:p>
      <w:pPr>
        <w:ind w:left="960" w:right="40" w:hanging="532"/>
        <w:spacing w:after="0" w:line="284"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acimtamig. </w:t>
      </w:r>
      <w:r>
        <w:rPr>
          <w:rFonts w:ascii="Times New Roman" w:cs="Times New Roman" w:eastAsia="Times New Roman" w:hAnsi="Times New Roman"/>
          <w:sz w:val="18"/>
          <w:szCs w:val="18"/>
          <w:color w:val="auto"/>
        </w:rPr>
        <w:t>In the nine months ended September 30, 2024 we incurred lower expenses (67%) than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the scaling down of manufacturing activities for clinical trial material and a decline in clinical trial costs.</w:t>
      </w:r>
    </w:p>
    <w:p>
      <w:pPr>
        <w:spacing w:after="0" w:line="63" w:lineRule="exact"/>
        <w:rPr>
          <w:rFonts w:ascii="Times New Roman" w:cs="Times New Roman" w:eastAsia="Times New Roman" w:hAnsi="Times New Roman"/>
          <w:sz w:val="18"/>
          <w:szCs w:val="18"/>
          <w:color w:val="auto"/>
        </w:rPr>
      </w:pPr>
    </w:p>
    <w:p>
      <w:pPr>
        <w:ind w:left="960" w:right="200" w:hanging="532"/>
        <w:spacing w:after="0" w:line="284"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AFM24. </w:t>
      </w:r>
      <w:r>
        <w:rPr>
          <w:rFonts w:ascii="Times New Roman" w:cs="Times New Roman" w:eastAsia="Times New Roman" w:hAnsi="Times New Roman"/>
          <w:sz w:val="18"/>
          <w:szCs w:val="18"/>
          <w:color w:val="auto"/>
        </w:rPr>
        <w:t>In the nine months ended September 30, 2024, we incurred lower expenses (43%) than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the decline in manufacturing activities for clinical trial materials as we focus on clinical development.</w:t>
      </w:r>
    </w:p>
    <w:p>
      <w:pPr>
        <w:spacing w:after="0" w:line="63" w:lineRule="exact"/>
        <w:rPr>
          <w:rFonts w:ascii="Times New Roman" w:cs="Times New Roman" w:eastAsia="Times New Roman" w:hAnsi="Times New Roman"/>
          <w:sz w:val="18"/>
          <w:szCs w:val="18"/>
          <w:color w:val="auto"/>
        </w:rPr>
      </w:pPr>
    </w:p>
    <w:p>
      <w:pPr>
        <w:ind w:left="960" w:right="200" w:hanging="532"/>
        <w:spacing w:after="0" w:line="284"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AFM28. </w:t>
      </w:r>
      <w:r>
        <w:rPr>
          <w:rFonts w:ascii="Times New Roman" w:cs="Times New Roman" w:eastAsia="Times New Roman" w:hAnsi="Times New Roman"/>
          <w:sz w:val="18"/>
          <w:szCs w:val="18"/>
          <w:color w:val="auto"/>
        </w:rPr>
        <w:t>In the nine months ended September 30, 2024, we incurred lower expenses (23%) than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overall lower costs for preclinical development activities.</w:t>
      </w:r>
    </w:p>
    <w:p>
      <w:pPr>
        <w:spacing w:after="0" w:line="63" w:lineRule="exact"/>
        <w:rPr>
          <w:rFonts w:ascii="Times New Roman" w:cs="Times New Roman" w:eastAsia="Times New Roman" w:hAnsi="Times New Roman"/>
          <w:sz w:val="18"/>
          <w:szCs w:val="18"/>
          <w:color w:val="auto"/>
        </w:rPr>
      </w:pPr>
    </w:p>
    <w:p>
      <w:pPr>
        <w:ind w:left="960" w:hanging="532"/>
        <w:spacing w:after="0" w:line="257"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projects and infrastructure costs. </w:t>
      </w:r>
      <w:r>
        <w:rPr>
          <w:rFonts w:ascii="Times New Roman" w:cs="Times New Roman" w:eastAsia="Times New Roman" w:hAnsi="Times New Roman"/>
          <w:sz w:val="18"/>
          <w:szCs w:val="18"/>
          <w:color w:val="auto"/>
        </w:rPr>
        <w:t>In the nine months ended September 30, 2024, expenses were lower (37%) than in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primarily due to a decline in costs incurred with respect to certain of our collaboration projects, such as the Roivant and Genentech collaboration, for which we have completed the work assigned to us under the respective collaboration agreements. Further, the decrease is also attributable to lower costs following the sale of our subsidiary AbCheck. The decline in other projects and infrastructure costs was offset by a one-time cash expenditure for termination payments of approximately €1.5 million, impairment of laboratory equipment of €1.6 million and impairment of inventory of €0.5 million.</w:t>
      </w:r>
    </w:p>
    <w:p>
      <w:pPr>
        <w:spacing w:after="0" w:line="87" w:lineRule="exact"/>
        <w:rPr>
          <w:rFonts w:ascii="Times New Roman" w:cs="Times New Roman" w:eastAsia="Times New Roman" w:hAnsi="Times New Roman"/>
          <w:sz w:val="18"/>
          <w:szCs w:val="18"/>
          <w:color w:val="auto"/>
        </w:rPr>
      </w:pPr>
    </w:p>
    <w:p>
      <w:pPr>
        <w:ind w:left="960" w:right="20" w:hanging="532"/>
        <w:spacing w:after="0" w:line="267"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Share-based payment expense</w:t>
      </w:r>
      <w:r>
        <w:rPr>
          <w:rFonts w:ascii="Times New Roman" w:cs="Times New Roman" w:eastAsia="Times New Roman" w:hAnsi="Times New Roman"/>
          <w:sz w:val="18"/>
          <w:szCs w:val="18"/>
          <w:color w:val="auto"/>
        </w:rPr>
        <w:t>. In the nine months ended September 30, 2024, this expense decreased by 83%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due to a decrease in the number of newly issued share options and to a reduction in head count, as well as to a reduction in the underlying fair value of newly issued share options.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amounted to €12.8 million in the nine months ended September 30, 2024 compared to €18.5 million in the nine months ended September 30, 2023. These costs have declined (31%) mainly as a result of a decline in legal and consulting expenses, as well as a decline in share-based payment expense and insurance premiums.</w:t>
      </w:r>
    </w:p>
    <w:p>
      <w:pPr>
        <w:sectPr>
          <w:pgSz w:w="11900" w:h="16838" w:orient="portrait"/>
          <w:cols w:equalWidth="0" w:num="1">
            <w:col w:w="11000"/>
          </w:cols>
          <w:pgMar w:left="440" w:top="268"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Finance income / (costs)-net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Finance costs for the nine months ended September 30, 2024 totaled €0.4 million, compared to finance income of €0.1 million for the nine months ended September 30, 2023. Finance income/(costs) in the nine months ended September 30, 2024 are primarily made up of foreign exchange gains/(losses) related to cash, cash equivalents and government treasury bonds denominated in U.S. dollars as a result of the change in the value of the U.S. dollar compared to the Euro, interest on our Bootstrap Loan and interest earned on the treasury bonds. Finance income/(costs) in the nine months ended September 30, 2023 are primarily made up of foreign exchange gains/(losses) related to cash and cash equivalents denominated in U.S. dollars as a result of the change in the value of the U.S. dollar compared to the Euro.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and we have incurred significant operating losses. We have funded our operations to date primarily through public offerings of common shares, private placements of equity securities and loans, grants and payments from collaboration partners.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consolidated statement of cash flows for the nine months ended September 30, 2024 and 2023:</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40" w:type="dxa"/>
            <w:vAlign w:val="bottom"/>
          </w:tcPr>
          <w:p>
            <w:pPr>
              <w:spacing w:after="0"/>
              <w:rPr>
                <w:sz w:val="15"/>
                <w:szCs w:val="15"/>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17"/>
        </w:trPr>
        <w:tc>
          <w:tcPr>
            <w:tcW w:w="6740" w:type="dxa"/>
            <w:vAlign w:val="bottom"/>
          </w:tcPr>
          <w:p>
            <w:pPr>
              <w:spacing w:after="0"/>
              <w:rPr>
                <w:sz w:val="10"/>
                <w:szCs w:val="10"/>
                <w:color w:val="auto"/>
              </w:rPr>
            </w:pPr>
          </w:p>
        </w:tc>
        <w:tc>
          <w:tcPr>
            <w:tcW w:w="15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0"/>
                <w:szCs w:val="10"/>
                <w:color w:val="auto"/>
              </w:rPr>
            </w:pPr>
          </w:p>
        </w:tc>
      </w:tr>
      <w:tr>
        <w:trPr>
          <w:trHeight w:val="173"/>
        </w:trPr>
        <w:tc>
          <w:tcPr>
            <w:tcW w:w="6740" w:type="dxa"/>
            <w:vAlign w:val="bottom"/>
          </w:tcPr>
          <w:p>
            <w:pPr>
              <w:spacing w:after="0"/>
              <w:rPr>
                <w:sz w:val="15"/>
                <w:szCs w:val="15"/>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 thousand)</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(51,462)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(84,827)</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generated/(used) in investing activities</w:t>
            </w: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18,272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(37,466)</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generated/(used) in financing activities</w:t>
            </w:r>
          </w:p>
        </w:tc>
        <w:tc>
          <w:tcPr>
            <w:tcW w:w="7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2,110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(4,824)</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related changes of cash and cash equivalents</w:t>
            </w: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to cash and cash equivalents</w:t>
            </w: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(31,080)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(127,117)</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38,529</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190,286</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7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7,405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62,817</w:t>
            </w:r>
          </w:p>
        </w:tc>
      </w:tr>
    </w:tbl>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€51.5 million in the nine months ended September 30, 2024 is lower than net cash used in operating activities in the nine months ended September 30, 2023 (€84.8 million), mainly due to our reduction in research and development expenditure and head count reduction. Net cash generated in investing activities in the nine months ended September 30, 2024 (€18.3 million) primarily resulted from the sale of government treasury bonds. Net cash generated in financing activities in the nine months ended September 30, 2024 (€2.1 million) resulted primarily from the payment of lease liabilities and the monthly Bootstrap loan installments, offset by cash generated from the issuance of common shares, while cash used in financing activities in the nine months ended September 30, 2023 was primarily used for the payment of lease liabilities and the monthly Bootstrap loan installments.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Funding Sources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investments as of September 30, 2024 were €24.1 million, compared with €72.0 million as of December 31, 2023. Funding sources generally comprise proceeds from the issuance of equity instruments, loans, payments from collaboration agreements and government grants.</w:t>
      </w:r>
    </w:p>
    <w:p>
      <w:pPr>
        <w:sectPr>
          <w:pgSz w:w="11900" w:h="16838" w:orient="portrait"/>
          <w:cols w:equalWidth="0" w:num="1">
            <w:col w:w="10940"/>
          </w:cols>
          <w:pgMar w:left="440" w:top="268"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Going concern</w:t>
      </w:r>
    </w:p>
    <w:p>
      <w:pPr>
        <w:spacing w:after="0" w:line="121"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Our interim financial statements have been prepared on the basis that we will continue as a going concern, which contemplates the realization of assets and the satisfaction of liabilities and commitments in the normal course of business. As a clinical-stage biopharmaceutical company, we have incurred operating losses since inception. As of September 30, 2024, we had an accumulated deficit of €585.9 million and total net equity of €17.2 million.</w:t>
      </w:r>
    </w:p>
    <w:p>
      <w:pPr>
        <w:spacing w:after="0" w:line="1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expect to incur operating losses for the foreseeable future due to, among other things, costs related to our continued clinical programs and their administrative organization. Historically, we have successfully financed our operations through collaborations, licensing, venture loans and equity issuances. Based on our current operating and budget assumptions, we anticipate that our cash and cash equivalents and investments, together with anticipated proceeds from the ATM program and the sale of AbCheck, will finance us into Q4 2025. In addition, management is pursuing various financing alternatives to meet future cash requirements, including the issuance of equity to existing or new shareholders, payments from arrangements with strategic partners and other sources. Based on such operating and budget assumptions, management has concluded that the Group is able to continue as a going concern.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advancing our product candidates through clinical development. Developing pharmaceutical products, including conducting preclinical studies and clinical studies, is expensive and is highly regulated. In order to obtain necessary regulatory approval, we are required to conduct clinical studies for each of our product candidates and each of their indications. Our clinical programs with acimtamig, AFM24 and AFM28 are still in the development stage. Any further development until market approval and successful financing is dependent on meaningful clinical trial results, among other factors. Achieving such results implies uncertainty, including relating to estimated costs for completing our ongoing clinical programs, the timing for bringing such programs to market or for substantially partnering or out-licensing arrangements, among others. It is unknown when, if ever, material cash inflows may commence.</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Based on the quality of the Group’s clinical data, management believes that it will be able to obtain financing for the implementation of the Group’s business strategy. If we are not able to raise sufficient capital when needed, we could be forced to delay, reduce or eliminate our product development programs and our ability to continue as a going concern would be uncertain. Based on management’s going concern assessment, our interim financial statements do not include any adjustments that may result from the outcome of these uncertainties.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we will require additional funding to complete the development of our product candidates and to continue to advance the development of our other product candidates. In addition, we expect that we will require additional capital to commercialize our product candidates, including acimtamig, AFM24 and AFM28. If we receive regulatory approval for acimtamig, AFM24, AFM28 or other earlier programs, and if we choose not to grant any licenses to partners, we expect to incur significant commercialization expenses related to product manufacturing, sales, marketing and distribution, depending on where we choose to commercialize. We also continue to incur substantial costs associated with operating as a public company.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Based on our current operating and budget assumptions, we believe that our existing liquidity will enable us to fund our operating expenses and capital expenditure requirements into Q4 2025. We have based this estimate on assumptions that may prove to be incorrect, and we could use our capital resources sooner than we currently expect. Our future funding requirements will depend on many factors, including but not limited to:</w:t>
      </w:r>
    </w:p>
    <w:p>
      <w:pPr>
        <w:spacing w:after="0" w:line="81" w:lineRule="exact"/>
        <w:rPr>
          <w:sz w:val="20"/>
          <w:szCs w:val="20"/>
          <w:color w:val="auto"/>
        </w:rPr>
      </w:pPr>
    </w:p>
    <w:p>
      <w:pPr>
        <w:ind w:left="420" w:hanging="31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clinical trials, nonclinical testing, and other related activities;</w:t>
      </w:r>
    </w:p>
    <w:p>
      <w:pPr>
        <w:spacing w:after="0" w:line="130" w:lineRule="exact"/>
        <w:rPr>
          <w:rFonts w:ascii="Times New Roman" w:cs="Times New Roman" w:eastAsia="Times New Roman" w:hAnsi="Times New Roman"/>
          <w:sz w:val="18"/>
          <w:szCs w:val="18"/>
          <w:color w:val="auto"/>
        </w:rPr>
      </w:pPr>
    </w:p>
    <w:p>
      <w:pPr>
        <w:ind w:left="420" w:right="600" w:hanging="316"/>
        <w:spacing w:after="0" w:line="28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products that we may develop;</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and distribution capabilities; and</w:t>
      </w:r>
    </w:p>
    <w:p>
      <w:pPr>
        <w:spacing w:after="0" w:line="130" w:lineRule="exact"/>
        <w:rPr>
          <w:rFonts w:ascii="Times New Roman" w:cs="Times New Roman" w:eastAsia="Times New Roman" w:hAnsi="Times New Roman"/>
          <w:sz w:val="18"/>
          <w:szCs w:val="18"/>
          <w:color w:val="auto"/>
        </w:rPr>
      </w:pPr>
    </w:p>
    <w:p>
      <w:pPr>
        <w:ind w:left="420" w:right="140" w:hanging="316"/>
        <w:spacing w:after="0" w:line="282"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licensing, and other arrangements that we may establish, including any required milestone and royalty payments thereunder.</w:t>
      </w:r>
    </w:p>
    <w:p>
      <w:pPr>
        <w:sectPr>
          <w:pgSz w:w="11900" w:h="16838" w:orient="portrait"/>
          <w:cols w:equalWidth="0" w:num="1">
            <w:col w:w="10980"/>
          </w:cols>
          <w:pgMar w:left="440" w:top="266" w:right="479" w:bottom="1440" w:gutter="0" w:footer="0" w:header="0"/>
        </w:sectPr>
      </w:pPr>
    </w:p>
    <w:bookmarkStart w:id="27" w:name="page28"/>
    <w:bookmarkEnd w:id="2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address our financing needs, we may raise additional capital through the sale of equity or convertible debt securities. In such an event, the ownership interest of our shareholders will be diluted, and the terms of any such securities may include liquidation or other preferences that adversely affect the rights of holders of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as to the risks associated with our future funding needs, see “Risk Factors” in the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date of this discussion and analysis, we do not have any, and during the periods presented we did not have any, off-balance sheet arrangements.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significant changes to our quantitative and qualitative disclosures about market risk from those reported in “Item 11. Quantitative and Qualitative Disclosures About Risk”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March 31, 2024, the lease term for the property leased in Mannheim has been reassessed and reduced to 5 years from 10 years and the relating right-of-use asset and lease liability have been adjusted accordingly. See Note 2, Basis of preparation and changes to Group’s accounting policies, and note 13, Lease liabilities, in the notes to our interim financial statements.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additional material changes to the significant accounting policies and estimates described in “Item 5. Operating and Financial Review and Prospects—A. Operating Results Overview—Critical Judgments and Accounting Estimates”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We refer to Note 2, Basis of preparation and changes to Group’s accounting policies in the notes to our interim financial statements with regard to the impact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discussion and analysis and include, but are not limited to, statements regarding our intent, belief or current expectations. Many of the forward-looking statements contained in this discussion and analysis can be identified by the use of forward-looking words such as “anticipate,” “believe,” “could,” “expect,” “should,” “plan,” “intend,” “estimate” and “potential,” among others.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the Annual Report. These risks and uncertainties include factors relating to:</w:t>
      </w:r>
    </w:p>
    <w:p>
      <w:pPr>
        <w:spacing w:after="0" w:line="94" w:lineRule="exact"/>
        <w:rPr>
          <w:sz w:val="20"/>
          <w:szCs w:val="20"/>
          <w:color w:val="auto"/>
        </w:rPr>
      </w:pPr>
    </w:p>
    <w:p>
      <w:pPr>
        <w:ind w:left="420" w:right="720" w:hanging="316"/>
        <w:spacing w:after="0" w:line="282"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as a development stage company with a history of operating losses; as of September 30, 2024, our accumulated deficit was €585.9 million;</w:t>
      </w:r>
    </w:p>
    <w:p>
      <w:pPr>
        <w:spacing w:after="0" w:line="67" w:lineRule="exact"/>
        <w:rPr>
          <w:rFonts w:ascii="Times New Roman" w:cs="Times New Roman" w:eastAsia="Times New Roman" w:hAnsi="Times New Roman"/>
          <w:sz w:val="18"/>
          <w:szCs w:val="18"/>
          <w:color w:val="auto"/>
        </w:rPr>
      </w:pPr>
    </w:p>
    <w:p>
      <w:pPr>
        <w:ind w:left="420" w:right="160" w:hanging="316"/>
        <w:spacing w:after="0" w:line="266"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adequate funding to complete development of our product candidates and the risk we may be unable to access additional capital on reasonable terms or at all to complete development and begin commercialization of our product candidates. See Note 2, Basis of preparation and changes to Group’s accounting policies, Going concern, in the notes to our interim financial statements for additional information;</w:t>
      </w:r>
    </w:p>
    <w:p>
      <w:pPr>
        <w:spacing w:after="0" w:line="81" w:lineRule="exact"/>
        <w:rPr>
          <w:rFonts w:ascii="Times New Roman" w:cs="Times New Roman" w:eastAsia="Times New Roman" w:hAnsi="Times New Roman"/>
          <w:sz w:val="18"/>
          <w:szCs w:val="18"/>
          <w:color w:val="auto"/>
        </w:rPr>
      </w:pPr>
    </w:p>
    <w:p>
      <w:pPr>
        <w:ind w:left="420" w:right="200" w:hanging="316"/>
        <w:spacing w:after="0" w:line="266"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based upon our operating and budget assumptions, cash and cash equivalents and investments of approximately €24.1 million as of September 30, 2024, and assumptions regarding proceeds of future issuances under our ATM program and from the sale of AbCheck, to finance our operations into Q4 2025 and beyond;</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restructuring and the associated headcount reduction could disrupt our business;</w:t>
      </w:r>
    </w:p>
    <w:p>
      <w:pPr>
        <w:sectPr>
          <w:pgSz w:w="11900" w:h="16838" w:orient="portrait"/>
          <w:cols w:equalWidth="0" w:num="1">
            <w:col w:w="11000"/>
          </w:cols>
          <w:pgMar w:left="440" w:top="270" w:right="459" w:bottom="1440" w:gutter="0" w:footer="0" w:header="0"/>
        </w:sectPr>
      </w:pPr>
    </w:p>
    <w:bookmarkStart w:id="28" w:name="page29"/>
    <w:bookmarkEnd w:id="28"/>
    <w:p>
      <w:pPr>
        <w:ind w:left="316" w:right="300" w:hanging="316"/>
        <w:spacing w:after="0" w:line="266"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possibility that our clinical trials may be delayed or put on clinical hold, for example, due to slower than expected enrollment or regulatory actions, or not be successful and clinical results may not reflect results seen in previously conducted preclinical studies and clinical trials, or expectations based on these preclinical studies and clinical trials;</w:t>
      </w:r>
    </w:p>
    <w:p>
      <w:pPr>
        <w:spacing w:after="0" w:line="81"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contract research organizations over which we have limited control;</w:t>
      </w:r>
    </w:p>
    <w:p>
      <w:pPr>
        <w:spacing w:after="0" w:line="130" w:lineRule="exact"/>
        <w:rPr>
          <w:rFonts w:ascii="Times New Roman" w:cs="Times New Roman" w:eastAsia="Times New Roman" w:hAnsi="Times New Roman"/>
          <w:sz w:val="18"/>
          <w:szCs w:val="18"/>
          <w:color w:val="auto"/>
        </w:rPr>
      </w:pPr>
    </w:p>
    <w:p>
      <w:pPr>
        <w:ind w:left="316" w:right="14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acimtamig, AFM24 and AFM28 (which are still in clinical development), each of which may eventually prove to be unsuccessful or commercially not exploitable;</w:t>
      </w:r>
    </w:p>
    <w:p>
      <w:pPr>
        <w:spacing w:after="0" w:line="67" w:lineRule="exact"/>
        <w:rPr>
          <w:rFonts w:ascii="Times New Roman" w:cs="Times New Roman" w:eastAsia="Times New Roman" w:hAnsi="Times New Roman"/>
          <w:sz w:val="18"/>
          <w:szCs w:val="18"/>
          <w:color w:val="auto"/>
        </w:rPr>
      </w:pPr>
    </w:p>
    <w:p>
      <w:pPr>
        <w:jc w:val="both"/>
        <w:ind w:left="316" w:right="80" w:hanging="316"/>
        <w:spacing w:after="0" w:line="261"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Affimed-Artiva partnership, including in relation to the fact that the current clinical data of acimtamig in combination with NK cell therapy is based on acimtamig precomplexed with fresh allogeneic cord blood-derived NK cells from The University of Texas MD Anderson Cancer Center, as opposed to AB-101, which is a cryopreserved allogeneic cord blood-derived NK cell that we anticipate will be co-administered with acimtamig;</w:t>
      </w:r>
    </w:p>
    <w:p>
      <w:pPr>
        <w:spacing w:after="0" w:line="85" w:lineRule="exact"/>
        <w:rPr>
          <w:rFonts w:ascii="Times New Roman" w:cs="Times New Roman" w:eastAsia="Times New Roman" w:hAnsi="Times New Roman"/>
          <w:sz w:val="18"/>
          <w:szCs w:val="18"/>
          <w:color w:val="auto"/>
        </w:rPr>
      </w:pPr>
    </w:p>
    <w:p>
      <w:pPr>
        <w:ind w:left="316" w:right="108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whether any of our product candidates will gain regulatory approval, which is necessary before they can be commercialized;</w:t>
      </w:r>
    </w:p>
    <w:p>
      <w:pPr>
        <w:spacing w:after="0" w:line="67" w:lineRule="exact"/>
        <w:rPr>
          <w:rFonts w:ascii="Times New Roman" w:cs="Times New Roman" w:eastAsia="Times New Roman" w:hAnsi="Times New Roman"/>
          <w:sz w:val="18"/>
          <w:szCs w:val="18"/>
          <w:color w:val="auto"/>
        </w:rPr>
      </w:pPr>
    </w:p>
    <w:p>
      <w:pPr>
        <w:ind w:left="316" w:right="2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made by the United States FDA and other regulatory authorities with respect to the development and commercialization of our products, including decisions regarding accelerated approval with respect to the LuminICE-203 study design;</w:t>
      </w:r>
    </w:p>
    <w:p>
      <w:pPr>
        <w:spacing w:after="0" w:line="67" w:lineRule="exact"/>
        <w:rPr>
          <w:rFonts w:ascii="Times New Roman" w:cs="Times New Roman" w:eastAsia="Times New Roman" w:hAnsi="Times New Roman"/>
          <w:sz w:val="18"/>
          <w:szCs w:val="18"/>
          <w:color w:val="auto"/>
        </w:rPr>
      </w:pPr>
    </w:p>
    <w:p>
      <w:pPr>
        <w:ind w:left="316" w:right="6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discussions we may enter into regarding, acquisitions, dispositions, partnerships, license transactions or changes to our capital structure, including our receipt of any milestone payments or royalties or any future securities offerings;</w:t>
      </w:r>
    </w:p>
    <w:p>
      <w:pPr>
        <w:spacing w:after="0" w:line="67" w:lineRule="exact"/>
        <w:rPr>
          <w:rFonts w:ascii="Times New Roman" w:cs="Times New Roman" w:eastAsia="Times New Roman" w:hAnsi="Times New Roman"/>
          <w:sz w:val="18"/>
          <w:szCs w:val="18"/>
          <w:color w:val="auto"/>
        </w:rPr>
      </w:pPr>
    </w:p>
    <w:p>
      <w:pPr>
        <w:ind w:left="316" w:right="2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chance that we may become exposed to costly and damaging liability claims resulting from the testing of our product candidates in the clinical or commercial stage;</w:t>
      </w:r>
    </w:p>
    <w:p>
      <w:pPr>
        <w:spacing w:after="0" w:line="67"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obtain regulatory approval, our being subject to expensive ongoing obligations and continued regulatory overview;</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and commercialization;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legislation may materially impact our ability to realize revenue from any approved and commercialized products;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chance that our products may not gain market acceptance, in which case we may not be able to generate product revenues;</w:t>
      </w:r>
    </w:p>
    <w:p>
      <w:pPr>
        <w:spacing w:after="0" w:line="130" w:lineRule="exact"/>
        <w:rPr>
          <w:rFonts w:ascii="Times New Roman" w:cs="Times New Roman" w:eastAsia="Times New Roman" w:hAnsi="Times New Roman"/>
          <w:sz w:val="18"/>
          <w:szCs w:val="18"/>
          <w:color w:val="auto"/>
        </w:rPr>
      </w:pPr>
    </w:p>
    <w:p>
      <w:pPr>
        <w:ind w:left="316" w:hanging="316"/>
        <w:spacing w:after="0" w:line="266"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current strategic relationships with NKGen Biotech and Artiva and the potential failure to enter into new strategic relationships or difficulties with our strategic partners that may slow the progress of our joint developments or lead to the termination of a partnership and the need to enter into a new one, all of which could take substantial time and attention of our management team;</w:t>
      </w:r>
    </w:p>
    <w:p>
      <w:pPr>
        <w:spacing w:after="0" w:line="81" w:lineRule="exact"/>
        <w:rPr>
          <w:rFonts w:ascii="Times New Roman" w:cs="Times New Roman" w:eastAsia="Times New Roman" w:hAnsi="Times New Roman"/>
          <w:sz w:val="18"/>
          <w:szCs w:val="18"/>
          <w:color w:val="auto"/>
        </w:rPr>
      </w:pPr>
    </w:p>
    <w:p>
      <w:pPr>
        <w:ind w:left="316" w:right="46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nonclinical and clinical trials and on third-party, single-source suppliers to supply or produce our product candidates;</w:t>
      </w:r>
    </w:p>
    <w:p>
      <w:pPr>
        <w:spacing w:after="0" w:line="67" w:lineRule="exact"/>
        <w:rPr>
          <w:rFonts w:ascii="Times New Roman" w:cs="Times New Roman" w:eastAsia="Times New Roman" w:hAnsi="Times New Roman"/>
          <w:sz w:val="18"/>
          <w:szCs w:val="18"/>
          <w:color w:val="auto"/>
        </w:rPr>
      </w:pPr>
    </w:p>
    <w:p>
      <w:pPr>
        <w:ind w:left="316" w:right="60" w:hanging="316"/>
        <w:spacing w:after="0" w:line="282"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scale-up manufacturing processes of our product candidates and reduce the cost of manufacturing our product candidates in advance of any commercialization;</w:t>
      </w:r>
    </w:p>
    <w:p>
      <w:pPr>
        <w:spacing w:after="0" w:line="67"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recruit additional qualified personnel;</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communicable disease or any other public health crisis, similar to the recent COVID-19 pandemic;</w:t>
      </w:r>
    </w:p>
    <w:p>
      <w:pPr>
        <w:spacing w:after="0" w:line="130" w:lineRule="exact"/>
        <w:rPr>
          <w:rFonts w:ascii="Times New Roman" w:cs="Times New Roman" w:eastAsia="Times New Roman" w:hAnsi="Times New Roman"/>
          <w:sz w:val="18"/>
          <w:szCs w:val="18"/>
          <w:color w:val="auto"/>
        </w:rPr>
      </w:pPr>
    </w:p>
    <w:p>
      <w:pPr>
        <w:ind w:left="316" w:right="280" w:hanging="316"/>
        <w:spacing w:after="0" w:line="266"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trends, political events, war, terrorism, business interruptions and other geopolitical events and uncertainties, such as the Russia-Ukraine conflict or the conflict in the Middle East, and the instability in the banking sector experienced in the first quarter of 2023; and</w:t>
      </w:r>
    </w:p>
    <w:p>
      <w:pPr>
        <w:spacing w:after="0" w:line="81"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Information—D. Risk Factors” in the Annual Report.</w:t>
      </w:r>
    </w:p>
    <w:p>
      <w:pPr>
        <w:sectPr>
          <w:pgSz w:w="11900" w:h="16838" w:orient="portrait"/>
          <w:cols w:equalWidth="0" w:num="1">
            <w:col w:w="10876"/>
          </w:cols>
          <w:pgMar w:left="544" w:top="270" w:right="47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transpire or occur,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082800"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828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Affimed Reports Third Quarter 2024 Financial Results &amp; Business Update</w:t>
      </w:r>
    </w:p>
    <w:p>
      <w:pPr>
        <w:spacing w:after="0" w:line="13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AFM24 combination with atezolizumab: The non-small cell lung cancer (NSCLC) </w:t>
      </w:r>
      <w:r>
        <w:rPr>
          <w:rFonts w:ascii="Times New Roman" w:cs="Times New Roman" w:eastAsia="Times New Roman" w:hAnsi="Times New Roman"/>
          <w:sz w:val="18"/>
          <w:szCs w:val="18"/>
          <w:b w:val="1"/>
          <w:bCs w:val="1"/>
          <w:i w:val="1"/>
          <w:iCs w:val="1"/>
          <w:color w:val="auto"/>
        </w:rPr>
        <w:t>EGFR</w:t>
      </w:r>
      <w:r>
        <w:rPr>
          <w:rFonts w:ascii="Times New Roman" w:cs="Times New Roman" w:eastAsia="Times New Roman" w:hAnsi="Times New Roman"/>
          <w:sz w:val="18"/>
          <w:szCs w:val="18"/>
          <w:b w:val="1"/>
          <w:bCs w:val="1"/>
          <w:color w:val="auto"/>
        </w:rPr>
        <w:t xml:space="preserve"> wild-type (</w:t>
      </w:r>
      <w:r>
        <w:rPr>
          <w:rFonts w:ascii="Times New Roman" w:cs="Times New Roman" w:eastAsia="Times New Roman" w:hAnsi="Times New Roman"/>
          <w:sz w:val="18"/>
          <w:szCs w:val="18"/>
          <w:b w:val="1"/>
          <w:bCs w:val="1"/>
          <w:i w:val="1"/>
          <w:iCs w:val="1"/>
          <w:color w:val="auto"/>
        </w:rPr>
        <w:t>EGFR</w:t>
      </w:r>
      <w:r>
        <w:rPr>
          <w:rFonts w:ascii="Times New Roman" w:cs="Times New Roman" w:eastAsia="Times New Roman" w:hAnsi="Times New Roman"/>
          <w:sz w:val="18"/>
          <w:szCs w:val="18"/>
          <w:b w:val="1"/>
          <w:bCs w:val="1"/>
          <w:color w:val="auto"/>
        </w:rPr>
        <w:t>wt) cohort completed</w:t>
      </w:r>
    </w:p>
    <w:p>
      <w:pPr>
        <w:spacing w:after="0" w:line="3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enrollment: </w:t>
      </w:r>
      <w:r>
        <w:rPr>
          <w:rFonts w:ascii="Times New Roman" w:cs="Times New Roman" w:eastAsia="Times New Roman" w:hAnsi="Times New Roman"/>
          <w:sz w:val="18"/>
          <w:szCs w:val="18"/>
          <w:color w:val="auto"/>
        </w:rPr>
        <w:t>Objective response rate (ORR) and safety data to be presented on a Company conference call on December 17, 2024.</w:t>
      </w:r>
    </w:p>
    <w:p>
      <w:pPr>
        <w:spacing w:after="0" w:line="108" w:lineRule="exact"/>
        <w:rPr>
          <w:rFonts w:ascii="Times New Roman" w:cs="Times New Roman" w:eastAsia="Times New Roman" w:hAnsi="Times New Roman"/>
          <w:sz w:val="18"/>
          <w:szCs w:val="18"/>
          <w:color w:val="auto"/>
        </w:rPr>
      </w:pPr>
    </w:p>
    <w:p>
      <w:pPr>
        <w:ind w:left="960" w:right="580" w:hanging="424"/>
        <w:spacing w:after="0" w:line="215"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Acimtamig (AFM13) combination with AlloNK</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(AB-101): </w:t>
      </w:r>
      <w:r>
        <w:rPr>
          <w:rFonts w:ascii="Times New Roman" w:cs="Times New Roman" w:eastAsia="Times New Roman" w:hAnsi="Times New Roman"/>
          <w:sz w:val="18"/>
          <w:szCs w:val="18"/>
          <w:color w:val="auto"/>
        </w:rPr>
        <w:t>Updated clinical data from the four cohorts of the run-in phase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a poster session at ASH 2024.</w:t>
      </w:r>
    </w:p>
    <w:p>
      <w:pPr>
        <w:spacing w:after="0" w:line="10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AFM28 monotherapy phase 1 dose-escalation study: </w:t>
      </w:r>
      <w:r>
        <w:rPr>
          <w:rFonts w:ascii="Times New Roman" w:cs="Times New Roman" w:eastAsia="Times New Roman" w:hAnsi="Times New Roman"/>
          <w:sz w:val="18"/>
          <w:szCs w:val="18"/>
          <w:color w:val="auto"/>
        </w:rPr>
        <w:t>Updated clinical data to be presented at an oral presentation at ASH 2024.</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runway into Q4 2025: </w:t>
      </w:r>
      <w:r>
        <w:rPr>
          <w:rFonts w:ascii="Times New Roman" w:cs="Times New Roman" w:eastAsia="Times New Roman" w:hAnsi="Times New Roman"/>
          <w:sz w:val="18"/>
          <w:szCs w:val="18"/>
          <w:color w:val="auto"/>
        </w:rPr>
        <w:t>As of September 30, 2024, cash, cash equivalents and investments were €24.1 million. Based on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plans cash-runway projected into Q4 2025.</w:t>
      </w:r>
    </w:p>
    <w:p>
      <w:pPr>
        <w:spacing w:after="0" w:line="47" w:lineRule="exact"/>
        <w:rPr>
          <w:sz w:val="20"/>
          <w:szCs w:val="20"/>
          <w:color w:val="auto"/>
        </w:rPr>
      </w:pPr>
    </w:p>
    <w:p>
      <w:pPr>
        <w:jc w:val="both"/>
        <w:ind w:left="44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Mannheim, Germany, November 14, 2024 </w:t>
      </w:r>
      <w:r>
        <w:rPr>
          <w:rFonts w:ascii="Times New Roman" w:cs="Times New Roman" w:eastAsia="Times New Roman" w:hAnsi="Times New Roman"/>
          <w:sz w:val="18"/>
          <w:szCs w:val="18"/>
          <w:color w:val="auto"/>
        </w:rPr>
        <w:t>– Affimed N.V. (Nasdaq: AFMD) (“Affimed” or the “Company”), a clinical-stage immuno-oncology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committed to giving patients back their innate ability to fight cancer, today reported financial results and provided an update on clinical and corporate progress for the quarter ended September 30, 2024.</w:t>
      </w:r>
    </w:p>
    <w:p>
      <w:pPr>
        <w:spacing w:after="0" w:line="67" w:lineRule="exact"/>
        <w:rPr>
          <w:sz w:val="20"/>
          <w:szCs w:val="20"/>
          <w:color w:val="auto"/>
        </w:rPr>
      </w:pPr>
    </w:p>
    <w:p>
      <w:pPr>
        <w:ind w:left="440" w:right="100"/>
        <w:spacing w:after="0" w:line="255" w:lineRule="auto"/>
        <w:rPr>
          <w:sz w:val="20"/>
          <w:szCs w:val="20"/>
          <w:color w:val="auto"/>
        </w:rPr>
      </w:pPr>
      <w:r>
        <w:rPr>
          <w:rFonts w:ascii="Times New Roman" w:cs="Times New Roman" w:eastAsia="Times New Roman" w:hAnsi="Times New Roman"/>
          <w:sz w:val="18"/>
          <w:szCs w:val="18"/>
          <w:color w:val="auto"/>
        </w:rPr>
        <w:t>“Our innate cell engager therapies are meeting the critical needs of cancer patients who often come to us after exhausting nearly all other treatment options. The responses we’ve observed, even in the heavily pre-treated populations, give us tremendous confidence,” said Dr. Shawn Leland, Chief Executive Officer of Affimed. “With clinical proof of concept established for all our innate cell engagers, the demonstrated activity across both hematological and solid tumors, combined with a strong safety profile, underscores the potential of our platform. We are refining our strategy to focus on clinical priorities and commercial viability, ensuring that our therapies deliver meaningful, long-term impact. I’m also very excited about expanding our efforts to seek collaborations with potential partners who share our vision to drive success for both patients and stakeholders.”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Pipeline Highlights: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AFM24 (EGFR / CD16A)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the AFM24-102 trial (combination with atezolizumab):</w:t>
      </w:r>
    </w:p>
    <w:p>
      <w:pPr>
        <w:spacing w:after="0" w:line="133" w:lineRule="exact"/>
        <w:rPr>
          <w:sz w:val="20"/>
          <w:szCs w:val="20"/>
          <w:color w:val="auto"/>
        </w:rPr>
      </w:pPr>
    </w:p>
    <w:p>
      <w:pPr>
        <w:ind w:left="960" w:right="280" w:hanging="424"/>
        <w:spacing w:after="0" w:line="284"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cohort of NSCLC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wt patients who failed chemotherapy and PD-1/PD-L1 has completed enrollment. ORR and safety data for this cohort will be presented on a Company conference call on December 17, 2024.</w:t>
      </w:r>
    </w:p>
    <w:p>
      <w:pPr>
        <w:sectPr>
          <w:pgSz w:w="11900" w:h="16838" w:orient="portrait"/>
          <w:cols w:equalWidth="0" w:num="1">
            <w:col w:w="11020"/>
          </w:cols>
          <w:pgMar w:left="440" w:top="117" w:right="439" w:bottom="1440" w:gutter="0" w:footer="0" w:header="0"/>
        </w:sectPr>
      </w:pPr>
    </w:p>
    <w:bookmarkStart w:id="31" w:name="page32"/>
    <w:bookmarkEnd w:id="31"/>
    <w:p>
      <w:pPr>
        <w:jc w:val="both"/>
        <w:ind w:left="520" w:right="140" w:hanging="424"/>
        <w:spacing w:after="0" w:line="267"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previously reported at ASCO 2024, in 17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wt NSCLC patients who failed chemotherapy and PD-1/PD-L1 treatment, 1 complete response (CR), 3 partial responses (PRs) and 8 stable diseases (SDs) had been observed. Disease control was 71%. At the time, 3 of the 4 responses were ongoing for more than 7 months and median progression free survival (PFS) was 5.9 months.</w:t>
      </w:r>
    </w:p>
    <w:p>
      <w:pPr>
        <w:spacing w:after="0" w:line="78" w:lineRule="exact"/>
        <w:rPr>
          <w:rFonts w:ascii="Times New Roman" w:cs="Times New Roman" w:eastAsia="Times New Roman" w:hAnsi="Times New Roman"/>
          <w:sz w:val="18"/>
          <w:szCs w:val="18"/>
          <w:color w:val="auto"/>
        </w:rPr>
      </w:pPr>
    </w:p>
    <w:p>
      <w:pPr>
        <w:ind w:left="520" w:right="540" w:hanging="424"/>
        <w:spacing w:after="0" w:line="284"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PFS data from the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wt and </w:t>
      </w:r>
      <w:r>
        <w:rPr>
          <w:rFonts w:ascii="Times New Roman" w:cs="Times New Roman" w:eastAsia="Times New Roman" w:hAnsi="Times New Roman"/>
          <w:sz w:val="18"/>
          <w:szCs w:val="18"/>
          <w:i w:val="1"/>
          <w:iCs w:val="1"/>
          <w:color w:val="auto"/>
        </w:rPr>
        <w:t>ORR and PFS data from the EGFR</w:t>
      </w:r>
      <w:r>
        <w:rPr>
          <w:rFonts w:ascii="Times New Roman" w:cs="Times New Roman" w:eastAsia="Times New Roman" w:hAnsi="Times New Roman"/>
          <w:sz w:val="18"/>
          <w:szCs w:val="18"/>
          <w:color w:val="auto"/>
        </w:rPr>
        <w:t xml:space="preserve"> mutant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mut) cohorts expected to be presented at a major scientific conference in H1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Acimtamig (AFM13) (CD30 / CD16A)</w:t>
      </w:r>
    </w:p>
    <w:p>
      <w:pPr>
        <w:spacing w:after="0" w:line="135" w:lineRule="exact"/>
        <w:rPr>
          <w:sz w:val="20"/>
          <w:szCs w:val="20"/>
          <w:color w:val="auto"/>
        </w:rPr>
      </w:pPr>
    </w:p>
    <w:p>
      <w:pPr>
        <w:ind w:left="520" w:hanging="424"/>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clinical data from the four cohorts of the run-in phase of the LuminICE-203 study will be shared in a poster session at ASH 2024.</w:t>
      </w:r>
    </w:p>
    <w:p>
      <w:pPr>
        <w:spacing w:after="0" w:line="130" w:lineRule="exact"/>
        <w:rPr>
          <w:rFonts w:ascii="Times New Roman" w:cs="Times New Roman" w:eastAsia="Times New Roman" w:hAnsi="Times New Roman"/>
          <w:sz w:val="18"/>
          <w:szCs w:val="18"/>
          <w:color w:val="auto"/>
        </w:rPr>
      </w:pPr>
    </w:p>
    <w:p>
      <w:pPr>
        <w:ind w:left="520" w:right="20" w:hanging="424"/>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on the Company’s Q2 2024 earnings call, in the phase 2 LuminICE-203 trial, 12 patients with advanced, treatment-refractory Hodgkin Lymphoma in cohorts 1 and 2, treated with a combination of the CD30-targeting innate cell engager acimtamig (AFM13) and AlloNK, demonstrated high efficacy, with an ORR of 83.3% and a CRR of 50%.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AFM28 (CD123 / CD16A)</w:t>
      </w:r>
    </w:p>
    <w:p>
      <w:pPr>
        <w:spacing w:after="0" w:line="135" w:lineRule="exact"/>
        <w:rPr>
          <w:sz w:val="20"/>
          <w:szCs w:val="20"/>
          <w:color w:val="auto"/>
        </w:rPr>
      </w:pPr>
    </w:p>
    <w:p>
      <w:pPr>
        <w:ind w:left="520" w:right="460" w:hanging="424"/>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oral presentation at ASH 2024 will feature updated clinical data including efficacy and safety data from the AFM28 phase 1 dose escalation study in relapsed/refractory acute myeloid leukemia (AML).</w:t>
      </w:r>
    </w:p>
    <w:p>
      <w:pPr>
        <w:spacing w:after="0" w:line="65" w:lineRule="exact"/>
        <w:rPr>
          <w:rFonts w:ascii="Times New Roman" w:cs="Times New Roman" w:eastAsia="Times New Roman" w:hAnsi="Times New Roman"/>
          <w:sz w:val="18"/>
          <w:szCs w:val="18"/>
          <w:color w:val="auto"/>
        </w:rPr>
      </w:pPr>
    </w:p>
    <w:p>
      <w:pPr>
        <w:ind w:left="520" w:right="100" w:hanging="424"/>
        <w:spacing w:after="0" w:line="284"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poster with preclinical data will highlight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efficacy of AFM28 in combination with both patient-derived autologous NK cells and healthy volunteer-derived allogeneic NK cells against leukemic blasts.</w:t>
      </w:r>
    </w:p>
    <w:p>
      <w:pPr>
        <w:spacing w:after="0" w:line="65" w:lineRule="exact"/>
        <w:rPr>
          <w:rFonts w:ascii="Times New Roman" w:cs="Times New Roman" w:eastAsia="Times New Roman" w:hAnsi="Times New Roman"/>
          <w:sz w:val="18"/>
          <w:szCs w:val="18"/>
          <w:color w:val="auto"/>
        </w:rPr>
      </w:pPr>
    </w:p>
    <w:p>
      <w:pPr>
        <w:ind w:left="520" w:right="220" w:hanging="424"/>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initial data on the six patients treated at dose level 6 at 300 mg in the multi-center phase 1 open-label, dose-escalation study (AFM28-101), of AFM28 monotherapy in CD123-positive r/r AML, showed 1 patient with a CR, 2 patients with a CRi for a composite complete remission (CRc) rate (defined as CR+CRi) of 50% (3/6).</w:t>
      </w:r>
    </w:p>
    <w:p>
      <w:pPr>
        <w:spacing w:after="0" w:line="81"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six patients have been enrolled in the 300 mg cohort.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135" w:lineRule="exact"/>
        <w:rPr>
          <w:sz w:val="20"/>
          <w:szCs w:val="20"/>
          <w:color w:val="auto"/>
        </w:rPr>
      </w:pPr>
    </w:p>
    <w:p>
      <w:pPr>
        <w:ind w:left="520" w:hanging="424"/>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LuminICE-203: Efficacy update of four cohorts to be presented at ASH 2024.</w:t>
      </w:r>
    </w:p>
    <w:p>
      <w:pPr>
        <w:spacing w:after="0" w:line="128"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AFM24-102: ORR and safety data from the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wt cohort to be presented at a Company conference call on December 17, 2024.</w:t>
      </w:r>
    </w:p>
    <w:p>
      <w:pPr>
        <w:spacing w:after="0" w:line="132"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AFM28-101: Updated data from the dose escalation to be presented at ASH 2024.</w:t>
      </w:r>
    </w:p>
    <w:p>
      <w:pPr>
        <w:spacing w:after="0" w:line="128" w:lineRule="exact"/>
        <w:rPr>
          <w:rFonts w:ascii="Times New Roman" w:cs="Times New Roman" w:eastAsia="Times New Roman" w:hAnsi="Times New Roman"/>
          <w:sz w:val="18"/>
          <w:szCs w:val="18"/>
          <w:color w:val="auto"/>
        </w:rPr>
      </w:pPr>
    </w:p>
    <w:p>
      <w:pPr>
        <w:ind w:left="520" w:hanging="424"/>
        <w:spacing w:after="0" w:line="284"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AMF24-102: ORR and PFS data from the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mut and PFS data from the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wt cohorts expected to be presented at a major scientific conference in H1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Affimed’s consolidated financial statements are prepared in accordance with International Financial Reporting Standards (IFRS) as issued by the International Accounting Standard Board (IASB). The consolidated financial statements are presented in Euros (€), the Company’s functional and presentation currency.</w:t>
      </w:r>
    </w:p>
    <w:p>
      <w:pPr>
        <w:sectPr>
          <w:pgSz w:w="11900" w:h="16838" w:orient="portrait"/>
          <w:cols w:equalWidth="0" w:num="1">
            <w:col w:w="10540"/>
          </w:cols>
          <w:pgMar w:left="880" w:top="268" w:right="479" w:bottom="1440" w:gutter="0" w:footer="0" w:header="0"/>
        </w:sectPr>
      </w:pPr>
    </w:p>
    <w:bookmarkStart w:id="32" w:name="page33"/>
    <w:bookmarkEnd w:id="3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September 30, 2024, cash, cash equivalents and short-term investments totaled €24.1 million. Based on current operating and budget assumptions, the Company expects that cash, cash equivalents and investments, together with anticipated proceeds from its ATM program and the sale of AbCheck, will finance its operations into Q4 of 2025.</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quarter ended September 30, 2024, was €11.1 million compared to €18.3 million for the quarter ended September 30, 2023. The decline was mainly due to lower research and development expenditure and personnel expenses.</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Total revenue for the quarter ended September 30, 2024, was €0.2 million compared with €2.0 million for the quarter ended September 30, 2023. Revenue in 2024 only related to a platform license provided to Genentech and 2023 predominantly related to the Roivant research collaborations for which all work has been completed.</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quarter ended September 30, 2024, were €10.1 million compared to €21.5 million in 2023. The decrease was primarily a result of lower expenses associated with the development of acimtamig and AFM24, due to a decrease in procurement of clinical trial material, clinical trial costs and manufacturing costs, decrease in head count due to the corporate restructuring.</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quarter ended September 30, 2024, were €4.3 million compared to €5.4 million for the quarter ended September 30, 2023. The decrease was due to the decline in headcount, in legal and consulting expenses, insurance expenses and share-based payment expenses.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loss for the quarter ended September 30, 2024, was €15.1 million, or €0.94 loss per common share compared with a net loss of €24.4 million, or €1.63 loss per common share, for the quarter ended September 30,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number of common shares outstanding for the quarter ended September 30, 2024, was 16,100,185 shares.</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these results will be included in the notes to the consolidated financial statements as of September 30, 2024, included in Affimed’s filings with the U.S. Securities and Exchange Commission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International Financial Reporting Standards (IFRS)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Affimed prepares and reports consolidated financial statements and financial information in accordance with IFRS as issued by the IASB. None of the financial statements were prepared in accordance with U.S. Generally Accepted Accounting Principles. Affimed maintains its books and records in Euro.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Affimed will host a conference call and webcast on November 14, 2024, at 8:30 a.m. EST / 14:30 CET to discuss third quarter 2024 financial results and corporate developments.</w:t>
      </w:r>
    </w:p>
    <w:p>
      <w:pPr>
        <w:sectPr>
          <w:pgSz w:w="11900" w:h="16838" w:orient="portrait"/>
          <w:cols w:equalWidth="0" w:num="1">
            <w:col w:w="10560"/>
          </w:cols>
          <w:pgMar w:left="880" w:top="270" w:right="459" w:bottom="1440" w:gutter="0" w:footer="0" w:header="0"/>
        </w:sectPr>
      </w:pPr>
    </w:p>
    <w:bookmarkStart w:id="33" w:name="page34"/>
    <w:bookmarkEnd w:id="3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conference call will be available via phone and webcast. The live audio webcast of the call will be available in the “Webcasts” section on the “Investors” page of the Affimed website at </w:t>
      </w:r>
      <w:r>
        <w:rPr>
          <w:rFonts w:ascii="Times New Roman" w:cs="Times New Roman" w:eastAsia="Times New Roman" w:hAnsi="Times New Roman"/>
          <w:sz w:val="18"/>
          <w:szCs w:val="18"/>
          <w:u w:val="single" w:color="auto"/>
          <w:color w:val="auto"/>
        </w:rPr>
        <w:t>https://www.affimed.com/investors/webcasts-and-corporate-presentation/</w:t>
      </w:r>
      <w:r>
        <w:rPr>
          <w:rFonts w:ascii="Times New Roman" w:cs="Times New Roman" w:eastAsia="Times New Roman" w:hAnsi="Times New Roman"/>
          <w:sz w:val="18"/>
          <w:szCs w:val="18"/>
          <w:color w:val="auto"/>
        </w:rPr>
        <w:t xml:space="preserve">. To access the call by phone, please use link: </w:t>
      </w:r>
      <w:r>
        <w:rPr>
          <w:rFonts w:ascii="Times New Roman" w:cs="Times New Roman" w:eastAsia="Times New Roman" w:hAnsi="Times New Roman"/>
          <w:sz w:val="18"/>
          <w:szCs w:val="18"/>
          <w:u w:val="single" w:color="auto"/>
          <w:color w:val="auto"/>
        </w:rPr>
        <w:t>https://register.vevent.com/register/BIb9251d6bc6504a4da37a53cdb1b0ac94</w:t>
      </w:r>
      <w:r>
        <w:rPr>
          <w:rFonts w:ascii="Times New Roman" w:cs="Times New Roman" w:eastAsia="Times New Roman" w:hAnsi="Times New Roman"/>
          <w:sz w:val="18"/>
          <w:szCs w:val="18"/>
          <w:color w:val="auto"/>
        </w:rPr>
        <w:t>, and you will be provided with dial-in details and a pin number.</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To avoid delays, we encourage participants to dial into the conference call 15 minutes ahead of the scheduled start time. A replay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webcast will be accessible at the same link for 30 days following the call.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Affimed N.V.</w:t>
      </w:r>
    </w:p>
    <w:p>
      <w:pPr>
        <w:spacing w:after="0" w:line="12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8"/>
          <w:szCs w:val="18"/>
          <w:color w:val="auto"/>
        </w:rPr>
        <w:t>Affimed (Nasdaq: AFMD) is a clinical-stage immuno-oncology company committed to giving patients back their innate ability to fight cancer by actualizing the untapped potential of the innate immune system. The Company’s innate cell engagers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enable a tumor-targeted approach to recognize and kill a range of hematologic and solid tumors.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generated on the Company’s proprietary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predictably generates customized molecules that leverage the power of innate immune cells to destroy tumor cells. A number of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are in clinical development, being studied as mono- or combination therapy. Headquartered in Mannheim, Germany, Affimed is led by an experienced team of biotechnology and pharmaceutical leaders united by a bold vision to stop cancer from ever derailing patients’ lives. For more about the Company’s people, pipeline and partners, please visit: </w:t>
      </w:r>
      <w:r>
        <w:rPr>
          <w:rFonts w:ascii="Times New Roman" w:cs="Times New Roman" w:eastAsia="Times New Roman" w:hAnsi="Times New Roman"/>
          <w:sz w:val="18"/>
          <w:szCs w:val="18"/>
          <w:u w:val="single" w:color="auto"/>
          <w:color w:val="auto"/>
        </w:rPr>
        <w:t>www.affimed.com</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appear in a number of places throughout this release and include statements regarding the Company’s intentions, beliefs, projections, outlook, analyses and current expectations concerning, among other things, the potential of acimtamig (AFM13), AFM24, AFM28 and the Company’s other product candidates, the value of its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its ongoing and planned preclinical development and clinical trials, its collaborations and development of its products in combination with other therapies, the timing of and its ability to make regulatory filings and obtain and maintain regulatory approvals for its product candidates, its intellectual property position, its collaboration activities, its ability to develop commercial functions, clinical trial data, its results of operations, cash needs, financial condition, liquidity, prospects, future transactions, growth and strategies, the industry in which it operates, the macroeconomic trends that may affect the industry or the Company, such as the instability in the banking sector experienced in the first quarter of 2023, impacts of the COVID-19 pandemic, the benefits to Affimed of orphan drug designation, the impact on its business by political events, war, terrorism, business</w:t>
      </w:r>
    </w:p>
    <w:p>
      <w:pPr>
        <w:sectPr>
          <w:pgSz w:w="11900" w:h="16838" w:orient="portrait"/>
          <w:cols w:equalWidth="0" w:num="1">
            <w:col w:w="10560"/>
          </w:cols>
          <w:pgMar w:left="880" w:top="270" w:right="459" w:bottom="1440" w:gutter="0" w:footer="0" w:header="0"/>
        </w:sectPr>
      </w:pPr>
    </w:p>
    <w:bookmarkStart w:id="34" w:name="page35"/>
    <w:bookmarkEnd w:id="34"/>
    <w:p>
      <w:pPr>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interruptions and other geopolitical events and uncertainties, such as the Russia-Ukraine conflict, the fact that the current clinical data of (AFM13) acimtamig in combination with NK cell therapy is based on AFM13 (acimtamig) precomplexed with fresh allogeneic cord blood-derived NK cells from The University of Texas MD Anderson Cancer Center, as opposed to Artiva’s AlloNK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(AB-101) and other uncertainties and factors described under the heading “Risk Factors” in Affimed’s filings with the SEC. Given these risks, uncertainties, and other factors, you should not place undue reliance on these forward-looking statements, and the Company assumes no obligation to update these forward-looking statements, even if new information becomes available in the future.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Fudukidis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a.fudukidis@affimed.com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(917) 436-8102</w:t>
      </w:r>
    </w:p>
    <w:p>
      <w:pPr>
        <w:sectPr>
          <w:pgSz w:w="11900" w:h="16838" w:orient="portrait"/>
          <w:cols w:equalWidth="0" w:num="1">
            <w:col w:w="10540"/>
          </w:cols>
          <w:pgMar w:left="880" w:top="270"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Affimed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interim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 thousand)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2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1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6700" w:type="dxa"/>
            <w:vAlign w:val="bottom"/>
          </w:tcPr>
          <w:p>
            <w:pPr>
              <w:spacing w:after="0"/>
              <w:rPr>
                <w:sz w:val="15"/>
                <w:szCs w:val="15"/>
                <w:color w:val="auto"/>
              </w:rPr>
            </w:pPr>
          </w:p>
        </w:tc>
        <w:tc>
          <w:tcPr>
            <w:tcW w:w="22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1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7,862</w:t>
            </w:r>
          </w:p>
        </w:tc>
        <w:tc>
          <w:tcPr>
            <w:tcW w:w="120" w:type="dxa"/>
            <w:vAlign w:val="bottom"/>
            <w:shd w:val="clear" w:color="auto" w:fill="CCEEFF"/>
          </w:tcPr>
          <w:p>
            <w:pPr>
              <w:spacing w:after="0"/>
              <w:rPr>
                <w:sz w:val="18"/>
                <w:szCs w:val="18"/>
                <w:color w:val="auto"/>
              </w:rPr>
            </w:pPr>
          </w:p>
        </w:tc>
      </w:tr>
      <w:tr>
        <w:trPr>
          <w:trHeight w:val="43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net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(37,254)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(76,302)</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(18,507)</w:t>
            </w:r>
          </w:p>
        </w:tc>
      </w:tr>
      <w:tr>
        <w:trPr>
          <w:trHeight w:val="223"/>
        </w:trPr>
        <w:tc>
          <w:tcPr>
            <w:tcW w:w="6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(14,283)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(24,923)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(49,371)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(85,826)</w:t>
            </w:r>
          </w:p>
        </w:tc>
      </w:tr>
      <w:tr>
        <w:trPr>
          <w:trHeight w:val="432"/>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income / (costs) – net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23"/>
        </w:trPr>
        <w:tc>
          <w:tcPr>
            <w:tcW w:w="6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(15,138)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(49,761)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(85,730)</w:t>
            </w:r>
          </w:p>
        </w:tc>
      </w:tr>
      <w:tr>
        <w:trPr>
          <w:trHeight w:val="43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(15,139)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(49,765)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(85,733)</w:t>
            </w:r>
          </w:p>
        </w:tc>
      </w:tr>
      <w:tr>
        <w:trPr>
          <w:trHeight w:val="20"/>
        </w:trPr>
        <w:tc>
          <w:tcPr>
            <w:tcW w:w="6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(15,139)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(49,765)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(85,733)</w:t>
            </w:r>
          </w:p>
        </w:tc>
      </w:tr>
      <w:tr>
        <w:trPr>
          <w:trHeight w:val="20"/>
        </w:trPr>
        <w:tc>
          <w:tcPr>
            <w:tcW w:w="6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in € per share (undiluted = diluted)</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(0.94)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(5.74)</w:t>
            </w: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number of common shares outstanding</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16,100,185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14,933,934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15,553,627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14,933,934</w:t>
            </w:r>
          </w:p>
        </w:tc>
      </w:tr>
    </w:tbl>
    <w:p>
      <w:pPr>
        <w:sectPr>
          <w:pgSz w:w="11900" w:h="16838" w:orient="portrait"/>
          <w:cols w:equalWidth="0" w:num="1">
            <w:col w:w="11020"/>
          </w:cols>
          <w:pgMar w:left="440" w:top="266"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Affimed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interim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 thousand)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60" w:type="dxa"/>
            <w:vAlign w:val="bottom"/>
          </w:tcPr>
          <w:p>
            <w:pPr>
              <w:spacing w:after="0"/>
              <w:rPr>
                <w:sz w:val="15"/>
                <w:szCs w:val="15"/>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and equipment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2,246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4,905</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5,307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8,039</w:t>
            </w:r>
          </w:p>
        </w:tc>
      </w:tr>
      <w:tr>
        <w:trPr>
          <w:trHeight w:val="223"/>
        </w:trPr>
        <w:tc>
          <w:tcPr>
            <w:tcW w:w="83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2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7,405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38,529</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16,695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33,518</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840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4,543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5,327</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prepaid expenses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2,908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r>
      <w:tr>
        <w:trPr>
          <w:trHeight w:val="228"/>
        </w:trPr>
        <w:tc>
          <w:tcPr>
            <w:tcW w:w="83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84,188</w:t>
            </w:r>
          </w:p>
        </w:tc>
        <w:tc>
          <w:tcPr>
            <w:tcW w:w="120" w:type="dxa"/>
            <w:vAlign w:val="bottom"/>
          </w:tcPr>
          <w:p>
            <w:pPr>
              <w:spacing w:after="0"/>
              <w:rPr>
                <w:sz w:val="19"/>
                <w:szCs w:val="19"/>
                <w:color w:val="auto"/>
              </w:rPr>
            </w:pPr>
          </w:p>
        </w:tc>
      </w:tr>
      <w:tr>
        <w:trPr>
          <w:trHeight w:val="211"/>
        </w:trPr>
        <w:tc>
          <w:tcPr>
            <w:tcW w:w="8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39,959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97,157</w:t>
            </w: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1,639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602,680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593,666</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reserves</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(1,231)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(585,893)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(536,128)</w:t>
            </w:r>
          </w:p>
        </w:tc>
      </w:tr>
      <w:tr>
        <w:trPr>
          <w:trHeight w:val="23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17,195</w:t>
            </w:r>
          </w:p>
        </w:tc>
        <w:tc>
          <w:tcPr>
            <w:tcW w:w="5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57,807</w:t>
            </w:r>
          </w:p>
        </w:tc>
        <w:tc>
          <w:tcPr>
            <w:tcW w:w="120" w:type="dxa"/>
            <w:vAlign w:val="bottom"/>
          </w:tcPr>
          <w:p>
            <w:pPr>
              <w:spacing w:after="0"/>
              <w:rPr>
                <w:sz w:val="20"/>
                <w:szCs w:val="20"/>
                <w:color w:val="auto"/>
              </w:rPr>
            </w:pPr>
          </w:p>
        </w:tc>
      </w:tr>
      <w:tr>
        <w:trPr>
          <w:trHeight w:val="99"/>
        </w:trPr>
        <w:tc>
          <w:tcPr>
            <w:tcW w:w="8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liabilities</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2,231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6,319</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5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6,660</w:t>
            </w:r>
          </w:p>
        </w:tc>
      </w:tr>
      <w:tr>
        <w:trPr>
          <w:trHeight w:val="27"/>
        </w:trPr>
        <w:tc>
          <w:tcPr>
            <w:tcW w:w="83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13,443</w:t>
            </w: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9,256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18,916</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5,833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5,833</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1,070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5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83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25,907</w:t>
            </w: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39,959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97,157</w:t>
            </w:r>
          </w:p>
        </w:tc>
      </w:tr>
    </w:tbl>
    <w:p>
      <w:pPr>
        <w:sectPr>
          <w:pgSz w:w="11900" w:h="16838" w:orient="portrait"/>
          <w:cols w:equalWidth="0" w:num="1">
            <w:col w:w="11020"/>
          </w:cols>
          <w:pgMar w:left="440" w:top="266"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Affimed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interim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 thousand)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8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9200" w:type="dxa"/>
            <w:vAlign w:val="bottom"/>
          </w:tcPr>
          <w:p>
            <w:pPr>
              <w:spacing w:after="0"/>
              <w:rPr>
                <w:sz w:val="15"/>
                <w:szCs w:val="15"/>
                <w:color w:val="auto"/>
              </w:rPr>
            </w:pPr>
          </w:p>
        </w:tc>
        <w:tc>
          <w:tcPr>
            <w:tcW w:w="18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9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(49,765)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(85,733)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the period: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 Income taxes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amortization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 Net (gain)/loss on disposal of leasehold improvements and equipment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Loss from write-down of inventories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 Share-based payments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9,238</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Finance income / (costs) – net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9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(75,241)</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Change in inventories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other assets and prepaid expenses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Change in trade, other payables, provisions and contract liabilities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(6,442)</w:t>
            </w:r>
          </w:p>
        </w:tc>
      </w:tr>
      <w:tr>
        <w:trPr>
          <w:trHeight w:val="27"/>
        </w:trPr>
        <w:tc>
          <w:tcPr>
            <w:tcW w:w="9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(50,706)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(85,252)</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1,497</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interest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Paid income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9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(51,462)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(84,827)</w:t>
            </w:r>
          </w:p>
        </w:tc>
      </w:tr>
      <w:tr>
        <w:trPr>
          <w:trHeight w:val="439"/>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leasehold improvements and equipment, including upfront payments for right-of-use assets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the sale of financial assets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investments in financial assets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(34,246)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the sale of leasehold improvements and equipment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9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 (used) for investing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(37,466)</w:t>
            </w:r>
          </w:p>
        </w:tc>
      </w:tr>
      <w:tr>
        <w:trPr>
          <w:trHeight w:val="439"/>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 of common shares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related to issue of common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(4,447)</w:t>
            </w:r>
          </w:p>
        </w:tc>
      </w:tr>
      <w:tr>
        <w:trPr>
          <w:trHeight w:val="27"/>
        </w:trPr>
        <w:tc>
          <w:tcPr>
            <w:tcW w:w="9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 (used) for financing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(4,824)</w:t>
            </w:r>
          </w:p>
        </w:tc>
      </w:tr>
      <w:tr>
        <w:trPr>
          <w:trHeight w:val="20"/>
        </w:trPr>
        <w:tc>
          <w:tcPr>
            <w:tcW w:w="9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Exchange-rate related changes of cash and cash equivalents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(352)</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changes to cash and cash equivalents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(31,080)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(127,117)</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38,529</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190,286</w:t>
            </w:r>
          </w:p>
        </w:tc>
      </w:tr>
      <w:tr>
        <w:trPr>
          <w:trHeight w:val="27"/>
        </w:trPr>
        <w:tc>
          <w:tcPr>
            <w:tcW w:w="9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62,817</w:t>
            </w:r>
          </w:p>
        </w:tc>
      </w:tr>
      <w:tr>
        <w:trPr>
          <w:trHeight w:val="20"/>
        </w:trPr>
        <w:tc>
          <w:tcPr>
            <w:tcW w:w="9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Affimed N.V.</w:t>
      </w:r>
    </w:p>
    <w:p>
      <w:pPr>
        <w:spacing w:after="0" w:line="31" w:lineRule="exact"/>
        <w:rPr>
          <w:sz w:val="20"/>
          <w:szCs w:val="20"/>
          <w:color w:val="auto"/>
        </w:rPr>
      </w:pPr>
    </w:p>
    <w:p>
      <w:pPr>
        <w:ind w:right="522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consolidated interim statements of changes in equity for the year (in € thousand)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69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582,843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3"/>
              </w:rPr>
              <w:t>(1,231)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(430,190)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Equity-settled share-based payment awards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9,238</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(85,733)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(85,733)</w:t>
            </w:r>
          </w:p>
        </w:tc>
      </w:tr>
      <w:tr>
        <w:trPr>
          <w:trHeight w:val="20"/>
        </w:trPr>
        <w:tc>
          <w:tcPr>
            <w:tcW w:w="6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592,081</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(515,923)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76,420</w:t>
            </w: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593,666</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(536,128)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57,807</w:t>
            </w: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Issue of common shares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awards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2,133</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(49,765)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(49,765)</w:t>
            </w:r>
          </w:p>
        </w:tc>
      </w:tr>
      <w:tr>
        <w:trPr>
          <w:trHeight w:val="223"/>
        </w:trPr>
        <w:tc>
          <w:tcPr>
            <w:tcW w:w="69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602,680</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(585,893)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17,195</w:t>
            </w: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bullet"/>
      <w:start w:val="1"/>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1."/>
      <w:numFmt w:val="decimal"/>
      <w:start w:val="14"/>
    </w:lvl>
  </w:abstractNum>
  <w:abstractNum w:abstractNumId="16">
    <w:nsid w:val="6763845E"/>
    <w:multiLevelType w:val="hybridMultilevel"/>
    <w:lvl w:ilvl="0">
      <w:lvlJc w:val="left"/>
      <w:lvlText w:val="•"/>
      <w:numFmt w:val="bullet"/>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2024-11-14T06:09:57Z</dcterms:created>
  <dcterms:modified xsi:type="dcterms:W3CDTF">2024-11-14T06:09:57Z</dcterms:modified>
</cp:coreProperties>
</file>